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1E26" w14:textId="72EE89A8" w:rsidR="00DE3428" w:rsidRPr="00967A30" w:rsidRDefault="00DE3428" w:rsidP="00DE3428">
      <w:pPr>
        <w:spacing w:after="0"/>
        <w:jc w:val="center"/>
        <w:rPr>
          <w:rFonts w:ascii="Times New Roman" w:hAnsi="Times New Roman" w:cs="Times New Roman"/>
          <w:b/>
          <w:bCs/>
        </w:rPr>
      </w:pPr>
      <w:r w:rsidRPr="00967A30">
        <w:rPr>
          <w:rFonts w:ascii="Times New Roman" w:hAnsi="Times New Roman" w:cs="Times New Roman"/>
          <w:b/>
          <w:bCs/>
        </w:rPr>
        <w:t>SELETUSKIRI</w:t>
      </w:r>
    </w:p>
    <w:p w14:paraId="30DD274F" w14:textId="732A446C" w:rsidR="00DE3428" w:rsidRPr="00967A30" w:rsidRDefault="00DE3428" w:rsidP="00DE3428">
      <w:pPr>
        <w:spacing w:after="0"/>
        <w:jc w:val="center"/>
        <w:rPr>
          <w:rFonts w:ascii="Times New Roman" w:hAnsi="Times New Roman" w:cs="Times New Roman"/>
          <w:b/>
          <w:bCs/>
        </w:rPr>
      </w:pPr>
      <w:r w:rsidRPr="00967A30">
        <w:rPr>
          <w:rFonts w:ascii="Times New Roman" w:hAnsi="Times New Roman" w:cs="Times New Roman"/>
          <w:b/>
          <w:bCs/>
        </w:rPr>
        <w:t>Avalik konsultatsioon sideandmete säilitamise kohta (mõjude hindamine)</w:t>
      </w:r>
    </w:p>
    <w:p w14:paraId="259976EC" w14:textId="77777777" w:rsidR="00DE3428" w:rsidRDefault="00DE3428" w:rsidP="00DE3428">
      <w:pPr>
        <w:spacing w:after="0"/>
        <w:jc w:val="center"/>
        <w:rPr>
          <w:rFonts w:ascii="Times New Roman" w:hAnsi="Times New Roman" w:cs="Times New Roman"/>
        </w:rPr>
      </w:pPr>
    </w:p>
    <w:p w14:paraId="7D2AB411" w14:textId="7713C4D3" w:rsidR="00DE3428" w:rsidRDefault="00DE3428" w:rsidP="00967A30">
      <w:pPr>
        <w:spacing w:after="0"/>
        <w:jc w:val="both"/>
        <w:rPr>
          <w:rFonts w:ascii="Times New Roman" w:hAnsi="Times New Roman" w:cs="Times New Roman"/>
          <w:b/>
          <w:bCs/>
        </w:rPr>
      </w:pPr>
      <w:r w:rsidRPr="009778FD">
        <w:rPr>
          <w:rFonts w:ascii="Times New Roman" w:hAnsi="Times New Roman" w:cs="Times New Roman"/>
          <w:b/>
          <w:bCs/>
        </w:rPr>
        <w:t xml:space="preserve">1. </w:t>
      </w:r>
      <w:r w:rsidR="00E0682C">
        <w:rPr>
          <w:rFonts w:ascii="Times New Roman" w:hAnsi="Times New Roman" w:cs="Times New Roman"/>
          <w:b/>
          <w:bCs/>
        </w:rPr>
        <w:t>ÜLEVAADE JA EESMÄRK</w:t>
      </w:r>
    </w:p>
    <w:p w14:paraId="750FF27A" w14:textId="77777777" w:rsidR="00F42172" w:rsidRPr="009778FD" w:rsidRDefault="00F42172" w:rsidP="00967A30">
      <w:pPr>
        <w:spacing w:after="0"/>
        <w:jc w:val="both"/>
        <w:rPr>
          <w:rFonts w:ascii="Times New Roman" w:hAnsi="Times New Roman" w:cs="Times New Roman"/>
          <w:b/>
          <w:bCs/>
        </w:rPr>
      </w:pPr>
    </w:p>
    <w:p w14:paraId="1794168D" w14:textId="77777777" w:rsidR="007C5955" w:rsidRDefault="00A466B8" w:rsidP="00967A30">
      <w:pPr>
        <w:spacing w:after="0"/>
        <w:jc w:val="both"/>
        <w:rPr>
          <w:rFonts w:ascii="Times New Roman" w:hAnsi="Times New Roman" w:cs="Times New Roman"/>
        </w:rPr>
      </w:pPr>
      <w:r>
        <w:rPr>
          <w:rFonts w:ascii="Times New Roman" w:hAnsi="Times New Roman" w:cs="Times New Roman"/>
        </w:rPr>
        <w:t>Jätkuks Euroopa Komisjoni</w:t>
      </w:r>
      <w:r w:rsidR="009778FD">
        <w:rPr>
          <w:rFonts w:ascii="Times New Roman" w:hAnsi="Times New Roman" w:cs="Times New Roman"/>
        </w:rPr>
        <w:t xml:space="preserve"> </w:t>
      </w:r>
      <w:r w:rsidR="005D3EC1">
        <w:rPr>
          <w:rFonts w:ascii="Times New Roman" w:hAnsi="Times New Roman" w:cs="Times New Roman"/>
        </w:rPr>
        <w:t>21. mail</w:t>
      </w:r>
      <w:r>
        <w:rPr>
          <w:rFonts w:ascii="Times New Roman" w:hAnsi="Times New Roman" w:cs="Times New Roman"/>
        </w:rPr>
        <w:t xml:space="preserve"> – 18. juunil</w:t>
      </w:r>
      <w:r w:rsidR="005D3EC1">
        <w:rPr>
          <w:rFonts w:ascii="Times New Roman" w:hAnsi="Times New Roman" w:cs="Times New Roman"/>
        </w:rPr>
        <w:t xml:space="preserve"> 2025 </w:t>
      </w:r>
      <w:r>
        <w:rPr>
          <w:rFonts w:ascii="Times New Roman" w:hAnsi="Times New Roman" w:cs="Times New Roman"/>
        </w:rPr>
        <w:t>toimunud</w:t>
      </w:r>
      <w:r w:rsidR="009778FD">
        <w:rPr>
          <w:rFonts w:ascii="Times New Roman" w:hAnsi="Times New Roman" w:cs="Times New Roman"/>
        </w:rPr>
        <w:t xml:space="preserve"> </w:t>
      </w:r>
      <w:hyperlink r:id="rId8" w:history="1">
        <w:r w:rsidR="009778FD" w:rsidRPr="009778FD">
          <w:rPr>
            <w:rStyle w:val="Hperlink"/>
            <w:rFonts w:ascii="Times New Roman" w:hAnsi="Times New Roman" w:cs="Times New Roman"/>
          </w:rPr>
          <w:t>avaliku</w:t>
        </w:r>
        <w:r>
          <w:rPr>
            <w:rStyle w:val="Hperlink"/>
            <w:rFonts w:ascii="Times New Roman" w:hAnsi="Times New Roman" w:cs="Times New Roman"/>
          </w:rPr>
          <w:t>le</w:t>
        </w:r>
        <w:r w:rsidR="009778FD" w:rsidRPr="009778FD">
          <w:rPr>
            <w:rStyle w:val="Hperlink"/>
            <w:rFonts w:ascii="Times New Roman" w:hAnsi="Times New Roman" w:cs="Times New Roman"/>
          </w:rPr>
          <w:t xml:space="preserve"> konsultatsioon</w:t>
        </w:r>
        <w:r>
          <w:rPr>
            <w:rStyle w:val="Hperlink"/>
            <w:rFonts w:ascii="Times New Roman" w:hAnsi="Times New Roman" w:cs="Times New Roman"/>
          </w:rPr>
          <w:t>ile</w:t>
        </w:r>
        <w:r w:rsidR="009778FD" w:rsidRPr="009778FD">
          <w:rPr>
            <w:rStyle w:val="Hperlink"/>
            <w:rFonts w:ascii="Times New Roman" w:hAnsi="Times New Roman" w:cs="Times New Roman"/>
          </w:rPr>
          <w:t xml:space="preserve"> sidean</w:t>
        </w:r>
        <w:r w:rsidR="009778FD" w:rsidRPr="009778FD">
          <w:rPr>
            <w:rStyle w:val="Hperlink"/>
            <w:rFonts w:ascii="Times New Roman" w:hAnsi="Times New Roman" w:cs="Times New Roman"/>
          </w:rPr>
          <w:t>d</w:t>
        </w:r>
        <w:r w:rsidR="009778FD" w:rsidRPr="009778FD">
          <w:rPr>
            <w:rStyle w:val="Hperlink"/>
            <w:rFonts w:ascii="Times New Roman" w:hAnsi="Times New Roman" w:cs="Times New Roman"/>
          </w:rPr>
          <w:t>mete säilitamise kohta (mõjude hindamine)</w:t>
        </w:r>
      </w:hyperlink>
      <w:r>
        <w:rPr>
          <w:rFonts w:ascii="Times New Roman" w:hAnsi="Times New Roman" w:cs="Times New Roman"/>
        </w:rPr>
        <w:t>, on 20. juunil 2025 käivitatud arvamuste kogumise teine etapp tähtajaga 12. september 2025</w:t>
      </w:r>
      <w:r w:rsidR="009778FD">
        <w:rPr>
          <w:rFonts w:ascii="Times New Roman" w:hAnsi="Times New Roman" w:cs="Times New Roman"/>
        </w:rPr>
        <w:t>.</w:t>
      </w:r>
      <w:r w:rsidR="00356219">
        <w:rPr>
          <w:rFonts w:ascii="Times New Roman" w:hAnsi="Times New Roman" w:cs="Times New Roman"/>
        </w:rPr>
        <w:t xml:space="preserve"> Eesti on vastanud avaliku konsultatsiooni esimese</w:t>
      </w:r>
      <w:r w:rsidR="007C5955">
        <w:rPr>
          <w:rFonts w:ascii="Times New Roman" w:hAnsi="Times New Roman" w:cs="Times New Roman"/>
        </w:rPr>
        <w:t xml:space="preserve"> etapi raames vabas vormis läbi viidud arvamuste kogumisele ning käesolevaga vastatakse teise etapi raames esitatud detailsemale küsimustikule. Viimases kajastuvad teemadena i) valdkonna regulatsiooni vajalikkus; ii) digiühiskonnas toimepandud kuritegude tõhus uurimine ja vajalikke tööriistade olemasolu; iii) teenuseosutajapoolne </w:t>
      </w:r>
      <w:proofErr w:type="spellStart"/>
      <w:r w:rsidR="007C5955">
        <w:rPr>
          <w:rFonts w:ascii="Times New Roman" w:hAnsi="Times New Roman" w:cs="Times New Roman"/>
        </w:rPr>
        <w:t>metaandmete</w:t>
      </w:r>
      <w:proofErr w:type="spellEnd"/>
      <w:r w:rsidR="007C5955">
        <w:rPr>
          <w:rFonts w:ascii="Times New Roman" w:hAnsi="Times New Roman" w:cs="Times New Roman"/>
        </w:rPr>
        <w:t xml:space="preserve"> säilitamine ärilistel eesmärkidel ja nende kasutamine õiguskaitse eesmärgil; iv) põhiõiguste tagamine; ning v) võimalike EL-i tasandi meetmete kohaldamisala.</w:t>
      </w:r>
      <w:r w:rsidR="009778FD">
        <w:rPr>
          <w:rFonts w:ascii="Times New Roman" w:hAnsi="Times New Roman" w:cs="Times New Roman"/>
        </w:rPr>
        <w:t xml:space="preserve"> </w:t>
      </w:r>
    </w:p>
    <w:p w14:paraId="3CB22E1C" w14:textId="77777777" w:rsidR="007C5955" w:rsidRDefault="007C5955" w:rsidP="00967A30">
      <w:pPr>
        <w:spacing w:after="0"/>
        <w:jc w:val="both"/>
        <w:rPr>
          <w:rFonts w:ascii="Times New Roman" w:hAnsi="Times New Roman" w:cs="Times New Roman"/>
        </w:rPr>
      </w:pPr>
    </w:p>
    <w:p w14:paraId="382D5E5F" w14:textId="2731CDD5" w:rsidR="00DE3428" w:rsidRDefault="009778FD" w:rsidP="00967A30">
      <w:pPr>
        <w:spacing w:after="0"/>
        <w:jc w:val="both"/>
        <w:rPr>
          <w:rFonts w:ascii="Times New Roman" w:hAnsi="Times New Roman" w:cs="Times New Roman"/>
        </w:rPr>
      </w:pPr>
      <w:r>
        <w:rPr>
          <w:rFonts w:ascii="Times New Roman" w:hAnsi="Times New Roman" w:cs="Times New Roman"/>
        </w:rPr>
        <w:t xml:space="preserve">Tagasiside korje on ajendatud asjaoluist, et teatud </w:t>
      </w:r>
      <w:r w:rsidRPr="009778FD">
        <w:rPr>
          <w:rFonts w:ascii="Times New Roman" w:hAnsi="Times New Roman" w:cs="Times New Roman"/>
        </w:rPr>
        <w:t xml:space="preserve">teenusepakkujate töödeldavad </w:t>
      </w:r>
      <w:proofErr w:type="spellStart"/>
      <w:r w:rsidRPr="009778FD">
        <w:rPr>
          <w:rFonts w:ascii="Times New Roman" w:hAnsi="Times New Roman" w:cs="Times New Roman"/>
        </w:rPr>
        <w:t>metaandmed</w:t>
      </w:r>
      <w:proofErr w:type="spellEnd"/>
      <w:r w:rsidR="00CF6817">
        <w:rPr>
          <w:rFonts w:ascii="Times New Roman" w:hAnsi="Times New Roman" w:cs="Times New Roman"/>
        </w:rPr>
        <w:t xml:space="preserve"> (st sideandmed)</w:t>
      </w:r>
      <w:r w:rsidRPr="009778FD">
        <w:rPr>
          <w:rFonts w:ascii="Times New Roman" w:hAnsi="Times New Roman" w:cs="Times New Roman"/>
        </w:rPr>
        <w:t xml:space="preserve"> on vajalikud kuritegevuse vastase võitluse tõhustamiseks. Kuna </w:t>
      </w:r>
      <w:r>
        <w:rPr>
          <w:rFonts w:ascii="Times New Roman" w:hAnsi="Times New Roman" w:cs="Times New Roman"/>
        </w:rPr>
        <w:t xml:space="preserve">hetkel </w:t>
      </w:r>
      <w:r w:rsidRPr="009778FD">
        <w:rPr>
          <w:rFonts w:ascii="Times New Roman" w:hAnsi="Times New Roman" w:cs="Times New Roman"/>
        </w:rPr>
        <w:t>puudub EL</w:t>
      </w:r>
      <w:r>
        <w:rPr>
          <w:rFonts w:ascii="Times New Roman" w:hAnsi="Times New Roman" w:cs="Times New Roman"/>
        </w:rPr>
        <w:t>-</w:t>
      </w:r>
      <w:r w:rsidRPr="009778FD">
        <w:rPr>
          <w:rFonts w:ascii="Times New Roman" w:hAnsi="Times New Roman" w:cs="Times New Roman"/>
        </w:rPr>
        <w:t>i</w:t>
      </w:r>
      <w:r>
        <w:rPr>
          <w:rFonts w:ascii="Times New Roman" w:hAnsi="Times New Roman" w:cs="Times New Roman"/>
        </w:rPr>
        <w:t xml:space="preserve"> </w:t>
      </w:r>
      <w:r w:rsidRPr="009778FD">
        <w:rPr>
          <w:rFonts w:ascii="Times New Roman" w:hAnsi="Times New Roman" w:cs="Times New Roman"/>
        </w:rPr>
        <w:t>ülene õigusraamistik, mis kohustaks teenusepakkujaid säilitama</w:t>
      </w:r>
      <w:r w:rsidR="00CF6817">
        <w:rPr>
          <w:rFonts w:ascii="Times New Roman" w:hAnsi="Times New Roman" w:cs="Times New Roman"/>
        </w:rPr>
        <w:t xml:space="preserve"> sideandmeid</w:t>
      </w:r>
      <w:r w:rsidRPr="009778FD">
        <w:rPr>
          <w:rFonts w:ascii="Times New Roman" w:hAnsi="Times New Roman" w:cs="Times New Roman"/>
        </w:rPr>
        <w:t xml:space="preserve"> kriminaalmenetluse jaoks mõistliku ja piiratud aja jooksul, ei pruugi andmed ametiasutuste taotluse esitamise ajaks enam eksisteerida. Andmete säilitamist reguleerivate EL</w:t>
      </w:r>
      <w:r>
        <w:rPr>
          <w:rFonts w:ascii="Times New Roman" w:hAnsi="Times New Roman" w:cs="Times New Roman"/>
        </w:rPr>
        <w:t>-</w:t>
      </w:r>
      <w:r w:rsidRPr="009778FD">
        <w:rPr>
          <w:rFonts w:ascii="Times New Roman" w:hAnsi="Times New Roman" w:cs="Times New Roman"/>
        </w:rPr>
        <w:t>i liikmesriikide õigusaktide erinevused võivad takistada kriminaalmenetlusi ja mõjutada kogu EL</w:t>
      </w:r>
      <w:r>
        <w:rPr>
          <w:rFonts w:ascii="Times New Roman" w:hAnsi="Times New Roman" w:cs="Times New Roman"/>
        </w:rPr>
        <w:t>-</w:t>
      </w:r>
      <w:r w:rsidRPr="009778FD">
        <w:rPr>
          <w:rFonts w:ascii="Times New Roman" w:hAnsi="Times New Roman" w:cs="Times New Roman"/>
        </w:rPr>
        <w:t>is tegutsevaid teenusepakkujaid. Se</w:t>
      </w:r>
      <w:r>
        <w:rPr>
          <w:rFonts w:ascii="Times New Roman" w:hAnsi="Times New Roman" w:cs="Times New Roman"/>
        </w:rPr>
        <w:t>eläbi on avaliku konsultatsiooni</w:t>
      </w:r>
      <w:r w:rsidRPr="009778FD">
        <w:rPr>
          <w:rFonts w:ascii="Times New Roman" w:hAnsi="Times New Roman" w:cs="Times New Roman"/>
        </w:rPr>
        <w:t xml:space="preserve"> eesmärk hinnata andmete säilitamise eeskirjade mõju EL</w:t>
      </w:r>
      <w:r>
        <w:rPr>
          <w:rFonts w:ascii="Times New Roman" w:hAnsi="Times New Roman" w:cs="Times New Roman"/>
        </w:rPr>
        <w:t>-</w:t>
      </w:r>
      <w:r w:rsidRPr="009778FD">
        <w:rPr>
          <w:rFonts w:ascii="Times New Roman" w:hAnsi="Times New Roman" w:cs="Times New Roman"/>
        </w:rPr>
        <w:t>i tasandil.</w:t>
      </w:r>
    </w:p>
    <w:p w14:paraId="324C19C4" w14:textId="77777777" w:rsidR="00767694" w:rsidRDefault="00767694" w:rsidP="00967A30">
      <w:pPr>
        <w:spacing w:after="0"/>
        <w:jc w:val="both"/>
        <w:rPr>
          <w:rFonts w:ascii="Times New Roman" w:hAnsi="Times New Roman" w:cs="Times New Roman"/>
        </w:rPr>
      </w:pPr>
    </w:p>
    <w:p w14:paraId="103DF71D" w14:textId="5A4A7BC7" w:rsidR="00767694" w:rsidRPr="00582D8B" w:rsidRDefault="00767694" w:rsidP="00967A30">
      <w:pPr>
        <w:spacing w:after="0"/>
        <w:jc w:val="both"/>
        <w:rPr>
          <w:rFonts w:ascii="Times New Roman" w:hAnsi="Times New Roman" w:cs="Times New Roman"/>
        </w:rPr>
      </w:pPr>
      <w:r w:rsidRPr="00582D8B">
        <w:rPr>
          <w:rFonts w:ascii="Times New Roman" w:hAnsi="Times New Roman" w:cs="Times New Roman"/>
        </w:rPr>
        <w:t>Konsultatsioonile vastates rõhutame järgnevat:</w:t>
      </w:r>
    </w:p>
    <w:p w14:paraId="573DBE11" w14:textId="5AF0991E" w:rsidR="0039565E" w:rsidRPr="00582D8B" w:rsidRDefault="0039565E" w:rsidP="0039565E">
      <w:pPr>
        <w:pStyle w:val="Loendilik"/>
        <w:numPr>
          <w:ilvl w:val="0"/>
          <w:numId w:val="3"/>
        </w:numPr>
        <w:spacing w:after="0"/>
        <w:jc w:val="both"/>
        <w:rPr>
          <w:rFonts w:ascii="Times New Roman" w:hAnsi="Times New Roman" w:cs="Times New Roman"/>
        </w:rPr>
      </w:pPr>
      <w:r w:rsidRPr="00582D8B">
        <w:rPr>
          <w:rFonts w:ascii="Times New Roman" w:hAnsi="Times New Roman" w:cs="Times New Roman"/>
        </w:rPr>
        <w:t>Sideandmed on asendamatu tööriist, mida julgeoleku- ja õiguskaitseasutused kasutavad nii kuritegude ja julgeolekuriskide avastamisel kui ka uurimisel. Sideandmetega seotud õiguslikud kitsaskohad mõjutavalt otseselt ning negatiivselt ametivõimude võimekust täita oma ülesandeid.</w:t>
      </w:r>
    </w:p>
    <w:p w14:paraId="361212EA" w14:textId="20DB85FA" w:rsidR="0039565E" w:rsidRPr="00582D8B" w:rsidRDefault="0039565E" w:rsidP="0039565E">
      <w:pPr>
        <w:pStyle w:val="Loendilik"/>
        <w:numPr>
          <w:ilvl w:val="0"/>
          <w:numId w:val="3"/>
        </w:numPr>
        <w:spacing w:after="0"/>
        <w:jc w:val="both"/>
        <w:rPr>
          <w:rFonts w:ascii="Times New Roman" w:hAnsi="Times New Roman" w:cs="Times New Roman"/>
        </w:rPr>
      </w:pPr>
      <w:r w:rsidRPr="00582D8B">
        <w:rPr>
          <w:rFonts w:ascii="Times New Roman" w:hAnsi="Times New Roman" w:cs="Times New Roman"/>
        </w:rPr>
        <w:t>Tänapäeval on kuritegevus märkimisväärsel määral kolinud interneti ja / või kasutab digilahendusi nende toimepanemiseks. Seeläbi on sideandmed – nende säilitamine koos võimaliku hilisema juurdepääsuga ajaloolistele andmetele – kriitilise tähtsusega võitluses piiriülese raske ja organiseeritud (</w:t>
      </w:r>
      <w:proofErr w:type="spellStart"/>
      <w:r w:rsidRPr="00582D8B">
        <w:rPr>
          <w:rFonts w:ascii="Times New Roman" w:hAnsi="Times New Roman" w:cs="Times New Roman"/>
        </w:rPr>
        <w:t>küber</w:t>
      </w:r>
      <w:proofErr w:type="spellEnd"/>
      <w:r w:rsidRPr="00582D8B">
        <w:rPr>
          <w:rFonts w:ascii="Times New Roman" w:hAnsi="Times New Roman" w:cs="Times New Roman"/>
        </w:rPr>
        <w:t>)kuritegevusega.</w:t>
      </w:r>
    </w:p>
    <w:p w14:paraId="0A80DD19" w14:textId="79658EF9" w:rsidR="0039565E" w:rsidRPr="00582D8B" w:rsidRDefault="0039565E" w:rsidP="0039565E">
      <w:pPr>
        <w:pStyle w:val="Loendilik"/>
        <w:numPr>
          <w:ilvl w:val="0"/>
          <w:numId w:val="3"/>
        </w:numPr>
        <w:spacing w:after="0"/>
        <w:jc w:val="both"/>
        <w:rPr>
          <w:rFonts w:ascii="Times New Roman" w:hAnsi="Times New Roman" w:cs="Times New Roman"/>
        </w:rPr>
      </w:pPr>
      <w:r w:rsidRPr="00582D8B">
        <w:rPr>
          <w:rFonts w:ascii="Times New Roman" w:hAnsi="Times New Roman" w:cs="Times New Roman"/>
        </w:rPr>
        <w:t>Isiku eraelu ja privaatsuse kaitse, sh andmekaitse, on iga inimese põhiõigus. Samuti on põhiõiguseks ka igaühe õigus elule ning tervise ja omandi kaitsele. Seeläbi on õiguskaitseasutuste võimekus julgeoleku- ja korrakaitseks – kasutades selleks mh säilitatud sideandmeid – kriitilise tähtsusega põhiõiguste tagamisel.</w:t>
      </w:r>
    </w:p>
    <w:p w14:paraId="2F58C4BB" w14:textId="6CFFEFF8" w:rsidR="0039565E" w:rsidRPr="00582D8B" w:rsidRDefault="0039565E" w:rsidP="0039565E">
      <w:pPr>
        <w:pStyle w:val="Loendilik"/>
        <w:numPr>
          <w:ilvl w:val="0"/>
          <w:numId w:val="3"/>
        </w:numPr>
        <w:spacing w:after="0"/>
        <w:jc w:val="both"/>
        <w:rPr>
          <w:rFonts w:ascii="Times New Roman" w:hAnsi="Times New Roman" w:cs="Times New Roman"/>
        </w:rPr>
      </w:pPr>
      <w:r w:rsidRPr="00582D8B">
        <w:rPr>
          <w:rFonts w:ascii="Times New Roman" w:hAnsi="Times New Roman" w:cs="Times New Roman"/>
        </w:rPr>
        <w:t>Eesti toetab ühtse EL-i taseme õigusliku raamistiku loomist</w:t>
      </w:r>
      <w:r w:rsidR="007367CD" w:rsidRPr="00582D8B">
        <w:rPr>
          <w:rFonts w:ascii="Times New Roman" w:hAnsi="Times New Roman" w:cs="Times New Roman"/>
        </w:rPr>
        <w:t>, tagamaks tõhusat sideandmete säilitamist ning neile juurdepääsu tagamist õiguskaitseasutuste poolt.</w:t>
      </w:r>
    </w:p>
    <w:p w14:paraId="5091620A" w14:textId="77777777" w:rsidR="00967A30" w:rsidRDefault="00967A30" w:rsidP="00967A30">
      <w:pPr>
        <w:spacing w:after="0"/>
        <w:jc w:val="both"/>
        <w:rPr>
          <w:rFonts w:ascii="Times New Roman" w:hAnsi="Times New Roman" w:cs="Times New Roman"/>
        </w:rPr>
      </w:pPr>
    </w:p>
    <w:p w14:paraId="356AF82B" w14:textId="4A5C0F20" w:rsidR="00DE3428" w:rsidRDefault="00967A30" w:rsidP="00967A30">
      <w:pPr>
        <w:spacing w:after="0"/>
        <w:jc w:val="both"/>
        <w:rPr>
          <w:rFonts w:ascii="Times New Roman" w:hAnsi="Times New Roman" w:cs="Times New Roman"/>
        </w:rPr>
      </w:pPr>
      <w:r>
        <w:rPr>
          <w:rFonts w:ascii="Times New Roman" w:hAnsi="Times New Roman" w:cs="Times New Roman"/>
        </w:rPr>
        <w:t>Avaliku konsultatsiooni tagasiside on esitatud Lisas 1.</w:t>
      </w:r>
      <w:r w:rsidR="002403E2">
        <w:rPr>
          <w:rFonts w:ascii="Times New Roman" w:hAnsi="Times New Roman" w:cs="Times New Roman"/>
        </w:rPr>
        <w:t xml:space="preserve"> Samuti juhime tähelepanu, et paralleelselt avaliku konsultatsiooniga </w:t>
      </w:r>
      <w:r w:rsidR="00416EB8">
        <w:rPr>
          <w:rFonts w:ascii="Times New Roman" w:hAnsi="Times New Roman" w:cs="Times New Roman"/>
        </w:rPr>
        <w:t>on</w:t>
      </w:r>
      <w:r w:rsidR="002403E2">
        <w:rPr>
          <w:rFonts w:ascii="Times New Roman" w:hAnsi="Times New Roman" w:cs="Times New Roman"/>
        </w:rPr>
        <w:t xml:space="preserve"> Euroopa Komisjon </w:t>
      </w:r>
      <w:r w:rsidR="00416EB8">
        <w:rPr>
          <w:rFonts w:ascii="Times New Roman" w:hAnsi="Times New Roman" w:cs="Times New Roman"/>
        </w:rPr>
        <w:t xml:space="preserve">kogunud 14. augustiks 2025 </w:t>
      </w:r>
      <w:r w:rsidR="002403E2">
        <w:rPr>
          <w:rFonts w:ascii="Times New Roman" w:hAnsi="Times New Roman" w:cs="Times New Roman"/>
        </w:rPr>
        <w:lastRenderedPageBreak/>
        <w:t>eksperttaseme vastuseid detailsele sideandmeid puudutavale küsimustikule</w:t>
      </w:r>
      <w:r w:rsidR="00416EB8">
        <w:rPr>
          <w:rFonts w:ascii="Times New Roman" w:hAnsi="Times New Roman" w:cs="Times New Roman"/>
        </w:rPr>
        <w:t xml:space="preserve">. Sellele vastasid </w:t>
      </w:r>
      <w:r w:rsidR="002403E2">
        <w:rPr>
          <w:rFonts w:ascii="Times New Roman" w:hAnsi="Times New Roman" w:cs="Times New Roman"/>
        </w:rPr>
        <w:t>Siseministeerium</w:t>
      </w:r>
      <w:r w:rsidR="00416EB8">
        <w:rPr>
          <w:rFonts w:ascii="Times New Roman" w:hAnsi="Times New Roman" w:cs="Times New Roman"/>
        </w:rPr>
        <w:t xml:space="preserve">, </w:t>
      </w:r>
      <w:r w:rsidR="002403E2">
        <w:rPr>
          <w:rFonts w:ascii="Times New Roman" w:hAnsi="Times New Roman" w:cs="Times New Roman"/>
        </w:rPr>
        <w:t>Justiits- ja Digiministeeriumi ning Politsei- ja Piirivalveamet.</w:t>
      </w:r>
    </w:p>
    <w:p w14:paraId="132047CE" w14:textId="77777777" w:rsidR="00967A30" w:rsidRDefault="00967A30" w:rsidP="00967A30">
      <w:pPr>
        <w:spacing w:after="0"/>
        <w:jc w:val="both"/>
        <w:rPr>
          <w:rFonts w:ascii="Times New Roman" w:hAnsi="Times New Roman" w:cs="Times New Roman"/>
        </w:rPr>
      </w:pPr>
    </w:p>
    <w:p w14:paraId="5D9A4A93" w14:textId="029E71C7" w:rsidR="00967A30" w:rsidRDefault="00967A30" w:rsidP="00967A30">
      <w:pPr>
        <w:spacing w:after="0"/>
        <w:jc w:val="both"/>
        <w:rPr>
          <w:rFonts w:ascii="Times New Roman" w:hAnsi="Times New Roman" w:cs="Times New Roman"/>
        </w:rPr>
      </w:pPr>
      <w:r>
        <w:rPr>
          <w:rFonts w:ascii="Times New Roman" w:hAnsi="Times New Roman" w:cs="Times New Roman"/>
        </w:rPr>
        <w:t>Ülevaate on koostanud Siseministeeriumi EL ja välissuhete osakond ning sisejulgeoleku osakond (</w:t>
      </w:r>
      <w:hyperlink r:id="rId9" w:history="1">
        <w:r w:rsidRPr="006E5766">
          <w:rPr>
            <w:rStyle w:val="Hperlink"/>
            <w:rFonts w:ascii="Times New Roman" w:hAnsi="Times New Roman" w:cs="Times New Roman"/>
          </w:rPr>
          <w:t>info@siseministeerium.ee</w:t>
        </w:r>
      </w:hyperlink>
      <w:r>
        <w:rPr>
          <w:rFonts w:ascii="Times New Roman" w:hAnsi="Times New Roman" w:cs="Times New Roman"/>
        </w:rPr>
        <w:t>). Valdkonna eest vastutab sisejulgeoleku asekantsler Joosep Kaasik (</w:t>
      </w:r>
      <w:hyperlink r:id="rId10" w:history="1">
        <w:r w:rsidRPr="006E5766">
          <w:rPr>
            <w:rStyle w:val="Hperlink"/>
            <w:rFonts w:ascii="Times New Roman" w:hAnsi="Times New Roman" w:cs="Times New Roman"/>
          </w:rPr>
          <w:t>joosep.kaasik@siseministeerium.ee</w:t>
        </w:r>
      </w:hyperlink>
      <w:r>
        <w:rPr>
          <w:rFonts w:ascii="Times New Roman" w:hAnsi="Times New Roman" w:cs="Times New Roman"/>
        </w:rPr>
        <w:t xml:space="preserve">). </w:t>
      </w:r>
    </w:p>
    <w:p w14:paraId="5174DC69" w14:textId="77777777" w:rsidR="00F42172" w:rsidRDefault="00F42172" w:rsidP="00967A30">
      <w:pPr>
        <w:spacing w:after="0"/>
        <w:jc w:val="both"/>
        <w:rPr>
          <w:rFonts w:ascii="Times New Roman" w:hAnsi="Times New Roman" w:cs="Times New Roman"/>
        </w:rPr>
      </w:pPr>
    </w:p>
    <w:p w14:paraId="41460CCE" w14:textId="6F4F7E83" w:rsidR="00DE3428" w:rsidRDefault="00DE3428" w:rsidP="00967A30">
      <w:pPr>
        <w:spacing w:after="0"/>
        <w:jc w:val="both"/>
        <w:rPr>
          <w:rFonts w:ascii="Times New Roman" w:hAnsi="Times New Roman" w:cs="Times New Roman"/>
          <w:b/>
          <w:bCs/>
        </w:rPr>
      </w:pPr>
      <w:r w:rsidRPr="009778FD">
        <w:rPr>
          <w:rFonts w:ascii="Times New Roman" w:hAnsi="Times New Roman" w:cs="Times New Roman"/>
          <w:b/>
          <w:bCs/>
        </w:rPr>
        <w:t>2. T</w:t>
      </w:r>
      <w:r w:rsidR="00E0682C">
        <w:rPr>
          <w:rFonts w:ascii="Times New Roman" w:hAnsi="Times New Roman" w:cs="Times New Roman"/>
          <w:b/>
          <w:bCs/>
        </w:rPr>
        <w:t>AUST</w:t>
      </w:r>
    </w:p>
    <w:p w14:paraId="576B6FB4" w14:textId="77777777" w:rsidR="00F42172" w:rsidRPr="009778FD" w:rsidRDefault="00F42172" w:rsidP="00967A30">
      <w:pPr>
        <w:spacing w:after="0"/>
        <w:jc w:val="both"/>
        <w:rPr>
          <w:rFonts w:ascii="Times New Roman" w:hAnsi="Times New Roman" w:cs="Times New Roman"/>
          <w:b/>
          <w:bCs/>
        </w:rPr>
      </w:pPr>
    </w:p>
    <w:p w14:paraId="1BACDF2D" w14:textId="6EEB8DB5" w:rsidR="00745574" w:rsidRDefault="009778FD" w:rsidP="009778FD">
      <w:pPr>
        <w:spacing w:after="0"/>
        <w:jc w:val="both"/>
        <w:rPr>
          <w:rFonts w:ascii="Times New Roman" w:hAnsi="Times New Roman" w:cs="Times New Roman"/>
        </w:rPr>
      </w:pPr>
      <w:r>
        <w:rPr>
          <w:rFonts w:ascii="Times New Roman" w:hAnsi="Times New Roman" w:cs="Times New Roman"/>
        </w:rPr>
        <w:t>Selleks, et tagada tõhus ning tulemuslik võitlus kuritegevusega, on uurimuste läbiviimiseks vajalik tagada õiguskaitseasutustele juurdepääs sideandmetele</w:t>
      </w:r>
      <w:r w:rsidR="00AB107F">
        <w:rPr>
          <w:rFonts w:ascii="Times New Roman" w:hAnsi="Times New Roman" w:cs="Times New Roman"/>
        </w:rPr>
        <w:t xml:space="preserve"> (</w:t>
      </w:r>
      <w:proofErr w:type="spellStart"/>
      <w:r w:rsidR="00AB107F">
        <w:rPr>
          <w:rFonts w:ascii="Times New Roman" w:hAnsi="Times New Roman" w:cs="Times New Roman"/>
        </w:rPr>
        <w:t>metaandmetele</w:t>
      </w:r>
      <w:proofErr w:type="spellEnd"/>
      <w:r w:rsidR="00AB107F">
        <w:rPr>
          <w:rFonts w:ascii="Times New Roman" w:hAnsi="Times New Roman" w:cs="Times New Roman"/>
        </w:rPr>
        <w:t>)</w:t>
      </w:r>
      <w:r>
        <w:rPr>
          <w:rFonts w:ascii="Times New Roman" w:hAnsi="Times New Roman" w:cs="Times New Roman"/>
        </w:rPr>
        <w:t xml:space="preserve">. </w:t>
      </w:r>
      <w:r w:rsidR="00745574">
        <w:rPr>
          <w:rFonts w:ascii="Times New Roman" w:hAnsi="Times New Roman" w:cs="Times New Roman"/>
        </w:rPr>
        <w:t>Sideandmed, mis muuhulgas hõlmavad abonenditeavet, sõnumi allikat ja asukohta, seadme asukohta, kuupäeva, kellaaega, kestust, suurust jms, kui mitte sõnumi sisu, võivad pakkuda õiguskaitseasutustele olulist teavet kahtlustavate ja / või süüdistatavate ning ohvrite kohta. Näiteks võimaldavad taolised andmed teha kindlaks nende asukohta teatud ajahetkel või pakkuda õiguskaitseasutustele hädavajalikku teavet kuriteo kohta üldisemalt.</w:t>
      </w:r>
    </w:p>
    <w:p w14:paraId="1431E85B" w14:textId="77777777" w:rsidR="00745574" w:rsidRDefault="00745574" w:rsidP="009778FD">
      <w:pPr>
        <w:spacing w:after="0"/>
        <w:jc w:val="both"/>
        <w:rPr>
          <w:rFonts w:ascii="Times New Roman" w:hAnsi="Times New Roman" w:cs="Times New Roman"/>
        </w:rPr>
      </w:pPr>
    </w:p>
    <w:p w14:paraId="3896F5A5" w14:textId="043A4E46" w:rsidR="00DE3428" w:rsidRDefault="00745574" w:rsidP="009778FD">
      <w:pPr>
        <w:spacing w:after="0"/>
        <w:jc w:val="both"/>
        <w:rPr>
          <w:rFonts w:ascii="Times New Roman" w:hAnsi="Times New Roman" w:cs="Times New Roman"/>
        </w:rPr>
      </w:pPr>
      <w:r>
        <w:rPr>
          <w:rFonts w:ascii="Times New Roman" w:hAnsi="Times New Roman" w:cs="Times New Roman"/>
        </w:rPr>
        <w:t>Sideandmete</w:t>
      </w:r>
      <w:r w:rsidR="009778FD">
        <w:rPr>
          <w:rFonts w:ascii="Times New Roman" w:hAnsi="Times New Roman" w:cs="Times New Roman"/>
        </w:rPr>
        <w:t xml:space="preserve"> juurdepääsu tagamiseks on vajalik sideandmetele varasem </w:t>
      </w:r>
      <w:r>
        <w:rPr>
          <w:rFonts w:ascii="Times New Roman" w:hAnsi="Times New Roman" w:cs="Times New Roman"/>
        </w:rPr>
        <w:t xml:space="preserve">elektrooniline </w:t>
      </w:r>
      <w:r w:rsidR="009778FD">
        <w:rPr>
          <w:rFonts w:ascii="Times New Roman" w:hAnsi="Times New Roman" w:cs="Times New Roman"/>
        </w:rPr>
        <w:t xml:space="preserve">säilitamine teenusepakkujate poolt. </w:t>
      </w:r>
      <w:r w:rsidR="009778FD" w:rsidRPr="009778FD">
        <w:rPr>
          <w:rFonts w:ascii="Times New Roman" w:hAnsi="Times New Roman" w:cs="Times New Roman"/>
        </w:rPr>
        <w:t>Kui teenuseosutajatel ei ole konkreetset kohustust</w:t>
      </w:r>
      <w:r w:rsidR="009778FD">
        <w:rPr>
          <w:rFonts w:ascii="Times New Roman" w:hAnsi="Times New Roman" w:cs="Times New Roman"/>
        </w:rPr>
        <w:t xml:space="preserve"> </w:t>
      </w:r>
      <w:r w:rsidR="009778FD" w:rsidRPr="009778FD">
        <w:rPr>
          <w:rFonts w:ascii="Times New Roman" w:hAnsi="Times New Roman" w:cs="Times New Roman"/>
        </w:rPr>
        <w:t>säilitada andmeid teatud mõistliku piiratud aja jooksul, võivad andmed</w:t>
      </w:r>
      <w:r>
        <w:rPr>
          <w:rFonts w:ascii="Times New Roman" w:hAnsi="Times New Roman" w:cs="Times New Roman"/>
        </w:rPr>
        <w:t xml:space="preserve"> olla õiguskaitseasutuste kriminaalmenetluse raames tehtava päringu esitamise hetkeks juba</w:t>
      </w:r>
      <w:r w:rsidR="009778FD" w:rsidRPr="009778FD">
        <w:rPr>
          <w:rFonts w:ascii="Times New Roman" w:hAnsi="Times New Roman" w:cs="Times New Roman"/>
        </w:rPr>
        <w:t xml:space="preserve"> </w:t>
      </w:r>
      <w:r>
        <w:rPr>
          <w:rFonts w:ascii="Times New Roman" w:hAnsi="Times New Roman" w:cs="Times New Roman"/>
        </w:rPr>
        <w:t>kustutatud, mis oluliselt halvab uurimuse tõhusust. Lisaks võivad sideandmed sisaldada isiklikku infot, mi</w:t>
      </w:r>
      <w:r w:rsidR="00F421E7">
        <w:rPr>
          <w:rFonts w:ascii="Times New Roman" w:hAnsi="Times New Roman" w:cs="Times New Roman"/>
        </w:rPr>
        <w:t xml:space="preserve">lle tõttu langevad nad automaatselt </w:t>
      </w:r>
      <w:hyperlink r:id="rId11" w:history="1">
        <w:r w:rsidR="00F421E7" w:rsidRPr="00F421E7">
          <w:rPr>
            <w:rStyle w:val="Hperlink"/>
            <w:rFonts w:ascii="Times New Roman" w:hAnsi="Times New Roman" w:cs="Times New Roman"/>
          </w:rPr>
          <w:t>Euroopa põhiõiguste harta</w:t>
        </w:r>
      </w:hyperlink>
      <w:r w:rsidR="00F421E7">
        <w:rPr>
          <w:rFonts w:ascii="Times New Roman" w:hAnsi="Times New Roman" w:cs="Times New Roman"/>
        </w:rPr>
        <w:t xml:space="preserve"> artiklite 7, 8 ja 11 ning </w:t>
      </w:r>
      <w:hyperlink r:id="rId12" w:history="1">
        <w:r w:rsidR="00F421E7" w:rsidRPr="00F421E7">
          <w:rPr>
            <w:rStyle w:val="Hperlink"/>
            <w:rFonts w:ascii="Times New Roman" w:hAnsi="Times New Roman" w:cs="Times New Roman"/>
          </w:rPr>
          <w:t>EL-i eraelu puutumuse ja andmekaitse õigusaktide</w:t>
        </w:r>
      </w:hyperlink>
      <w:r w:rsidR="00F421E7">
        <w:rPr>
          <w:rStyle w:val="Allmrkuseviide"/>
          <w:rFonts w:ascii="Times New Roman" w:hAnsi="Times New Roman" w:cs="Times New Roman"/>
        </w:rPr>
        <w:footnoteReference w:id="1"/>
      </w:r>
      <w:r w:rsidR="00F421E7">
        <w:rPr>
          <w:rFonts w:ascii="Times New Roman" w:hAnsi="Times New Roman" w:cs="Times New Roman"/>
        </w:rPr>
        <w:t xml:space="preserve"> skoopi. Seetõttu langeb teenusepakkujale kohustus taoliste andmete kustutamiseks, v.a. juhul, kui neile rakenduvad konkreetsed juriidilised kohustused (nt õiguskaitseasutuste sihistatud päring) ja / või neid vajatakse õiguspärastel ärilistel eesmärkidel.</w:t>
      </w:r>
      <w:r w:rsidR="00F63430">
        <w:rPr>
          <w:rFonts w:ascii="Times New Roman" w:hAnsi="Times New Roman" w:cs="Times New Roman"/>
        </w:rPr>
        <w:t xml:space="preserve"> Samale seisukohale asus ka </w:t>
      </w:r>
      <w:hyperlink r:id="rId13" w:history="1">
        <w:r w:rsidR="00F63430" w:rsidRPr="00F63430">
          <w:rPr>
            <w:rStyle w:val="Hperlink"/>
            <w:rFonts w:ascii="Times New Roman" w:hAnsi="Times New Roman" w:cs="Times New Roman"/>
          </w:rPr>
          <w:t>2014. aastal Euroopa Kohus</w:t>
        </w:r>
      </w:hyperlink>
      <w:r w:rsidR="00F63430">
        <w:rPr>
          <w:rFonts w:ascii="Times New Roman" w:hAnsi="Times New Roman" w:cs="Times New Roman"/>
        </w:rPr>
        <w:t xml:space="preserve"> liidetud </w:t>
      </w:r>
      <w:hyperlink r:id="rId14" w:history="1">
        <w:r w:rsidR="00F63430" w:rsidRPr="00F63430">
          <w:rPr>
            <w:rStyle w:val="Hperlink"/>
            <w:rFonts w:ascii="Times New Roman" w:hAnsi="Times New Roman" w:cs="Times New Roman"/>
          </w:rPr>
          <w:t>kohtuasjades C-293/12</w:t>
        </w:r>
      </w:hyperlink>
      <w:r w:rsidR="00F63430">
        <w:rPr>
          <w:rFonts w:ascii="Times New Roman" w:hAnsi="Times New Roman" w:cs="Times New Roman"/>
        </w:rPr>
        <w:t xml:space="preserve"> (</w:t>
      </w:r>
      <w:r w:rsidR="00F63430" w:rsidRPr="00F63430">
        <w:rPr>
          <w:rFonts w:ascii="Times New Roman" w:hAnsi="Times New Roman" w:cs="Times New Roman"/>
          <w:i/>
          <w:iCs/>
        </w:rPr>
        <w:t xml:space="preserve">Digital </w:t>
      </w:r>
      <w:proofErr w:type="spellStart"/>
      <w:r w:rsidR="00F63430" w:rsidRPr="00F63430">
        <w:rPr>
          <w:rFonts w:ascii="Times New Roman" w:hAnsi="Times New Roman" w:cs="Times New Roman"/>
          <w:i/>
          <w:iCs/>
        </w:rPr>
        <w:t>Rights</w:t>
      </w:r>
      <w:proofErr w:type="spellEnd"/>
      <w:r w:rsidR="00F63430" w:rsidRPr="00F63430">
        <w:rPr>
          <w:rFonts w:ascii="Times New Roman" w:hAnsi="Times New Roman" w:cs="Times New Roman"/>
          <w:i/>
          <w:iCs/>
        </w:rPr>
        <w:t xml:space="preserve"> </w:t>
      </w:r>
      <w:proofErr w:type="spellStart"/>
      <w:r w:rsidR="00F63430" w:rsidRPr="00F63430">
        <w:rPr>
          <w:rFonts w:ascii="Times New Roman" w:hAnsi="Times New Roman" w:cs="Times New Roman"/>
          <w:i/>
          <w:iCs/>
        </w:rPr>
        <w:t>Ireland</w:t>
      </w:r>
      <w:proofErr w:type="spellEnd"/>
      <w:r w:rsidR="00F63430" w:rsidRPr="00F63430">
        <w:rPr>
          <w:rFonts w:ascii="Times New Roman" w:hAnsi="Times New Roman" w:cs="Times New Roman"/>
          <w:i/>
          <w:iCs/>
        </w:rPr>
        <w:t xml:space="preserve"> Ltd versus Minister </w:t>
      </w:r>
      <w:proofErr w:type="spellStart"/>
      <w:r w:rsidR="00F63430" w:rsidRPr="00F63430">
        <w:rPr>
          <w:rFonts w:ascii="Times New Roman" w:hAnsi="Times New Roman" w:cs="Times New Roman"/>
          <w:i/>
          <w:iCs/>
        </w:rPr>
        <w:t>for</w:t>
      </w:r>
      <w:proofErr w:type="spellEnd"/>
      <w:r w:rsidR="00F63430" w:rsidRPr="00F63430">
        <w:rPr>
          <w:rFonts w:ascii="Times New Roman" w:hAnsi="Times New Roman" w:cs="Times New Roman"/>
          <w:i/>
          <w:iCs/>
        </w:rPr>
        <w:t xml:space="preserve"> </w:t>
      </w:r>
      <w:proofErr w:type="spellStart"/>
      <w:r w:rsidR="00F63430" w:rsidRPr="00F63430">
        <w:rPr>
          <w:rFonts w:ascii="Times New Roman" w:hAnsi="Times New Roman" w:cs="Times New Roman"/>
          <w:i/>
          <w:iCs/>
        </w:rPr>
        <w:t>Communications</w:t>
      </w:r>
      <w:proofErr w:type="spellEnd"/>
      <w:r w:rsidR="00F63430" w:rsidRPr="00F63430">
        <w:rPr>
          <w:rFonts w:ascii="Times New Roman" w:hAnsi="Times New Roman" w:cs="Times New Roman"/>
          <w:i/>
          <w:iCs/>
        </w:rPr>
        <w:t xml:space="preserve">, Marine and Natural Resources jt ja </w:t>
      </w:r>
      <w:proofErr w:type="spellStart"/>
      <w:r w:rsidR="00F63430" w:rsidRPr="00F63430">
        <w:rPr>
          <w:rFonts w:ascii="Times New Roman" w:hAnsi="Times New Roman" w:cs="Times New Roman"/>
          <w:i/>
          <w:iCs/>
        </w:rPr>
        <w:t>Kärntner</w:t>
      </w:r>
      <w:proofErr w:type="spellEnd"/>
      <w:r w:rsidR="00F63430" w:rsidRPr="00F63430">
        <w:rPr>
          <w:rFonts w:ascii="Times New Roman" w:hAnsi="Times New Roman" w:cs="Times New Roman"/>
          <w:i/>
          <w:iCs/>
        </w:rPr>
        <w:t xml:space="preserve"> </w:t>
      </w:r>
      <w:proofErr w:type="spellStart"/>
      <w:r w:rsidR="00F63430" w:rsidRPr="00F63430">
        <w:rPr>
          <w:rFonts w:ascii="Times New Roman" w:hAnsi="Times New Roman" w:cs="Times New Roman"/>
          <w:i/>
          <w:iCs/>
        </w:rPr>
        <w:t>Landesregierung</w:t>
      </w:r>
      <w:proofErr w:type="spellEnd"/>
      <w:r w:rsidR="00F63430" w:rsidRPr="00F63430">
        <w:rPr>
          <w:rFonts w:ascii="Times New Roman" w:hAnsi="Times New Roman" w:cs="Times New Roman"/>
          <w:i/>
          <w:iCs/>
        </w:rPr>
        <w:t xml:space="preserve"> jt</w:t>
      </w:r>
      <w:r w:rsidR="00F63430">
        <w:rPr>
          <w:rFonts w:ascii="Times New Roman" w:hAnsi="Times New Roman" w:cs="Times New Roman"/>
          <w:i/>
          <w:iCs/>
        </w:rPr>
        <w:t xml:space="preserve">) </w:t>
      </w:r>
      <w:r w:rsidR="00F63430">
        <w:rPr>
          <w:rFonts w:ascii="Times New Roman" w:hAnsi="Times New Roman" w:cs="Times New Roman"/>
        </w:rPr>
        <w:t xml:space="preserve">ning </w:t>
      </w:r>
      <w:hyperlink r:id="rId15" w:history="1">
        <w:r w:rsidR="00F63430" w:rsidRPr="00F63430">
          <w:rPr>
            <w:rStyle w:val="Hperlink"/>
            <w:rFonts w:ascii="Times New Roman" w:hAnsi="Times New Roman" w:cs="Times New Roman"/>
          </w:rPr>
          <w:t>C-594/12</w:t>
        </w:r>
      </w:hyperlink>
      <w:r w:rsidR="00F63430">
        <w:rPr>
          <w:rFonts w:ascii="Times New Roman" w:hAnsi="Times New Roman" w:cs="Times New Roman"/>
        </w:rPr>
        <w:t xml:space="preserve"> (</w:t>
      </w:r>
      <w:proofErr w:type="spellStart"/>
      <w:r w:rsidR="00F63430" w:rsidRPr="00F63430">
        <w:rPr>
          <w:rFonts w:ascii="Times New Roman" w:hAnsi="Times New Roman" w:cs="Times New Roman"/>
          <w:i/>
          <w:iCs/>
        </w:rPr>
        <w:t>Seitlinger</w:t>
      </w:r>
      <w:proofErr w:type="spellEnd"/>
      <w:r w:rsidR="00F63430" w:rsidRPr="00F63430">
        <w:rPr>
          <w:rFonts w:ascii="Times New Roman" w:hAnsi="Times New Roman" w:cs="Times New Roman"/>
          <w:i/>
          <w:iCs/>
        </w:rPr>
        <w:t xml:space="preserve"> jt</w:t>
      </w:r>
      <w:r w:rsidR="00F63430">
        <w:rPr>
          <w:rFonts w:ascii="Times New Roman" w:hAnsi="Times New Roman" w:cs="Times New Roman"/>
        </w:rPr>
        <w:t xml:space="preserve">), kus tuvastati, et </w:t>
      </w:r>
      <w:hyperlink r:id="rId16" w:history="1">
        <w:r w:rsidR="00F63430" w:rsidRPr="00F63430">
          <w:rPr>
            <w:rStyle w:val="Hperlink"/>
            <w:rFonts w:ascii="Times New Roman" w:hAnsi="Times New Roman" w:cs="Times New Roman"/>
          </w:rPr>
          <w:t>varasem andmete säilitamist käsitlev direktiiv</w:t>
        </w:r>
      </w:hyperlink>
      <w:r w:rsidR="00F63430">
        <w:rPr>
          <w:rStyle w:val="Allmrkuseviide"/>
          <w:rFonts w:ascii="Times New Roman" w:hAnsi="Times New Roman" w:cs="Times New Roman"/>
        </w:rPr>
        <w:footnoteReference w:id="2"/>
      </w:r>
      <w:r w:rsidR="00F63430">
        <w:rPr>
          <w:rFonts w:ascii="Times New Roman" w:hAnsi="Times New Roman" w:cs="Times New Roman"/>
        </w:rPr>
        <w:t xml:space="preserve">, mille peamine eesmärk oli ühtlustada liikmesriikide sätteid üldkasutatavate sideandmete säilitamise kohta, riivab ulatuslikul eraelu puutumatuse ja isikuandmete kaitse õigusi. </w:t>
      </w:r>
      <w:r w:rsidR="00545B83">
        <w:rPr>
          <w:rFonts w:ascii="Times New Roman" w:hAnsi="Times New Roman" w:cs="Times New Roman"/>
        </w:rPr>
        <w:t xml:space="preserve">See lähenemine leidis kinnitust ka 2015. aasta liidetud kohtuasjades </w:t>
      </w:r>
      <w:hyperlink r:id="rId17" w:history="1">
        <w:r w:rsidR="00545B83" w:rsidRPr="00545B83">
          <w:rPr>
            <w:rStyle w:val="Hperlink"/>
            <w:rFonts w:ascii="Times New Roman" w:hAnsi="Times New Roman" w:cs="Times New Roman"/>
          </w:rPr>
          <w:t>C-203/15</w:t>
        </w:r>
      </w:hyperlink>
      <w:r w:rsidR="00545B83">
        <w:rPr>
          <w:rFonts w:ascii="Times New Roman" w:hAnsi="Times New Roman" w:cs="Times New Roman"/>
        </w:rPr>
        <w:t xml:space="preserve"> (</w:t>
      </w:r>
      <w:r w:rsidR="00545B83" w:rsidRPr="00545B83">
        <w:rPr>
          <w:rFonts w:ascii="Times New Roman" w:hAnsi="Times New Roman" w:cs="Times New Roman"/>
          <w:i/>
          <w:iCs/>
        </w:rPr>
        <w:t xml:space="preserve">Tele2 </w:t>
      </w:r>
      <w:proofErr w:type="spellStart"/>
      <w:r w:rsidR="00545B83" w:rsidRPr="00545B83">
        <w:rPr>
          <w:rFonts w:ascii="Times New Roman" w:hAnsi="Times New Roman" w:cs="Times New Roman"/>
          <w:i/>
          <w:iCs/>
        </w:rPr>
        <w:t>Sverige</w:t>
      </w:r>
      <w:proofErr w:type="spellEnd"/>
      <w:r w:rsidR="00545B83" w:rsidRPr="00545B83">
        <w:rPr>
          <w:rFonts w:ascii="Times New Roman" w:hAnsi="Times New Roman" w:cs="Times New Roman"/>
          <w:i/>
          <w:iCs/>
        </w:rPr>
        <w:t xml:space="preserve"> AB v Post- </w:t>
      </w:r>
      <w:proofErr w:type="spellStart"/>
      <w:r w:rsidR="00545B83" w:rsidRPr="00545B83">
        <w:rPr>
          <w:rFonts w:ascii="Times New Roman" w:hAnsi="Times New Roman" w:cs="Times New Roman"/>
          <w:i/>
          <w:iCs/>
        </w:rPr>
        <w:t>och</w:t>
      </w:r>
      <w:proofErr w:type="spellEnd"/>
      <w:r w:rsidR="00545B83" w:rsidRPr="00545B83">
        <w:rPr>
          <w:rFonts w:ascii="Times New Roman" w:hAnsi="Times New Roman" w:cs="Times New Roman"/>
          <w:i/>
          <w:iCs/>
        </w:rPr>
        <w:t xml:space="preserve"> </w:t>
      </w:r>
      <w:proofErr w:type="spellStart"/>
      <w:r w:rsidR="00545B83" w:rsidRPr="00545B83">
        <w:rPr>
          <w:rFonts w:ascii="Times New Roman" w:hAnsi="Times New Roman" w:cs="Times New Roman"/>
          <w:i/>
          <w:iCs/>
        </w:rPr>
        <w:t>telestyrelsen</w:t>
      </w:r>
      <w:proofErr w:type="spellEnd"/>
      <w:r w:rsidR="00545B83" w:rsidRPr="00545B83">
        <w:rPr>
          <w:rFonts w:ascii="Times New Roman" w:hAnsi="Times New Roman" w:cs="Times New Roman"/>
          <w:i/>
          <w:iCs/>
        </w:rPr>
        <w:t xml:space="preserve"> </w:t>
      </w:r>
      <w:r w:rsidR="00545B83">
        <w:rPr>
          <w:rFonts w:ascii="Times New Roman" w:hAnsi="Times New Roman" w:cs="Times New Roman"/>
          <w:i/>
          <w:iCs/>
        </w:rPr>
        <w:t>ja</w:t>
      </w:r>
      <w:r w:rsidR="00545B83" w:rsidRPr="00545B83">
        <w:rPr>
          <w:rFonts w:ascii="Times New Roman" w:hAnsi="Times New Roman" w:cs="Times New Roman"/>
          <w:i/>
          <w:iCs/>
        </w:rPr>
        <w:t xml:space="preserve"> </w:t>
      </w:r>
      <w:proofErr w:type="spellStart"/>
      <w:r w:rsidR="00545B83" w:rsidRPr="00545B83">
        <w:rPr>
          <w:rFonts w:ascii="Times New Roman" w:hAnsi="Times New Roman" w:cs="Times New Roman"/>
          <w:i/>
          <w:iCs/>
        </w:rPr>
        <w:t>Secretary</w:t>
      </w:r>
      <w:proofErr w:type="spellEnd"/>
      <w:r w:rsidR="00545B83" w:rsidRPr="00545B83">
        <w:rPr>
          <w:rFonts w:ascii="Times New Roman" w:hAnsi="Times New Roman" w:cs="Times New Roman"/>
          <w:i/>
          <w:iCs/>
        </w:rPr>
        <w:t xml:space="preserve"> of State </w:t>
      </w:r>
      <w:proofErr w:type="spellStart"/>
      <w:r w:rsidR="00545B83" w:rsidRPr="00545B83">
        <w:rPr>
          <w:rFonts w:ascii="Times New Roman" w:hAnsi="Times New Roman" w:cs="Times New Roman"/>
          <w:i/>
          <w:iCs/>
        </w:rPr>
        <w:t>for</w:t>
      </w:r>
      <w:proofErr w:type="spellEnd"/>
      <w:r w:rsidR="00545B83" w:rsidRPr="00545B83">
        <w:rPr>
          <w:rFonts w:ascii="Times New Roman" w:hAnsi="Times New Roman" w:cs="Times New Roman"/>
          <w:i/>
          <w:iCs/>
        </w:rPr>
        <w:t xml:space="preserve"> </w:t>
      </w:r>
      <w:proofErr w:type="spellStart"/>
      <w:r w:rsidR="00545B83" w:rsidRPr="00545B83">
        <w:rPr>
          <w:rFonts w:ascii="Times New Roman" w:hAnsi="Times New Roman" w:cs="Times New Roman"/>
          <w:i/>
          <w:iCs/>
        </w:rPr>
        <w:t>the</w:t>
      </w:r>
      <w:proofErr w:type="spellEnd"/>
      <w:r w:rsidR="00545B83" w:rsidRPr="00545B83">
        <w:rPr>
          <w:rFonts w:ascii="Times New Roman" w:hAnsi="Times New Roman" w:cs="Times New Roman"/>
          <w:i/>
          <w:iCs/>
        </w:rPr>
        <w:t xml:space="preserve"> Home </w:t>
      </w:r>
      <w:proofErr w:type="spellStart"/>
      <w:r w:rsidR="00545B83" w:rsidRPr="00545B83">
        <w:rPr>
          <w:rFonts w:ascii="Times New Roman" w:hAnsi="Times New Roman" w:cs="Times New Roman"/>
          <w:i/>
          <w:iCs/>
        </w:rPr>
        <w:t>Department</w:t>
      </w:r>
      <w:proofErr w:type="spellEnd"/>
      <w:r w:rsidR="00545B83" w:rsidRPr="00545B83">
        <w:rPr>
          <w:rFonts w:ascii="Times New Roman" w:hAnsi="Times New Roman" w:cs="Times New Roman"/>
          <w:i/>
          <w:iCs/>
        </w:rPr>
        <w:t xml:space="preserve"> v Tom </w:t>
      </w:r>
      <w:proofErr w:type="spellStart"/>
      <w:r w:rsidR="00545B83" w:rsidRPr="00545B83">
        <w:rPr>
          <w:rFonts w:ascii="Times New Roman" w:hAnsi="Times New Roman" w:cs="Times New Roman"/>
          <w:i/>
          <w:iCs/>
        </w:rPr>
        <w:t>Watson</w:t>
      </w:r>
      <w:proofErr w:type="spellEnd"/>
      <w:r w:rsidR="00545B83">
        <w:rPr>
          <w:rFonts w:ascii="Times New Roman" w:hAnsi="Times New Roman" w:cs="Times New Roman"/>
          <w:i/>
          <w:iCs/>
        </w:rPr>
        <w:t xml:space="preserve"> jt</w:t>
      </w:r>
      <w:r w:rsidR="00545B83">
        <w:rPr>
          <w:rFonts w:ascii="Times New Roman" w:hAnsi="Times New Roman" w:cs="Times New Roman"/>
        </w:rPr>
        <w:t xml:space="preserve">) ning C-698/15, mille kohtulahendite alusel oli samuti keelatud kõigi </w:t>
      </w:r>
      <w:proofErr w:type="spellStart"/>
      <w:r w:rsidR="00545B83">
        <w:rPr>
          <w:rFonts w:ascii="Times New Roman" w:hAnsi="Times New Roman" w:cs="Times New Roman"/>
        </w:rPr>
        <w:t>kaustajate</w:t>
      </w:r>
      <w:proofErr w:type="spellEnd"/>
      <w:r w:rsidR="00545B83">
        <w:rPr>
          <w:rFonts w:ascii="Times New Roman" w:hAnsi="Times New Roman" w:cs="Times New Roman"/>
        </w:rPr>
        <w:t xml:space="preserve"> üleüldine ja </w:t>
      </w:r>
      <w:proofErr w:type="spellStart"/>
      <w:r w:rsidR="00545B83">
        <w:rPr>
          <w:rFonts w:ascii="Times New Roman" w:hAnsi="Times New Roman" w:cs="Times New Roman"/>
        </w:rPr>
        <w:t>eristamatu</w:t>
      </w:r>
      <w:proofErr w:type="spellEnd"/>
      <w:r w:rsidR="00545B83">
        <w:rPr>
          <w:rFonts w:ascii="Times New Roman" w:hAnsi="Times New Roman" w:cs="Times New Roman"/>
        </w:rPr>
        <w:t xml:space="preserve"> sideandmete säilitamine. </w:t>
      </w:r>
      <w:r w:rsidR="00F63430">
        <w:rPr>
          <w:rFonts w:ascii="Times New Roman" w:hAnsi="Times New Roman" w:cs="Times New Roman"/>
        </w:rPr>
        <w:t xml:space="preserve">Seetõttu ei ole </w:t>
      </w:r>
      <w:r w:rsidR="00F63430" w:rsidRPr="00F63430">
        <w:rPr>
          <w:rFonts w:ascii="Times New Roman" w:hAnsi="Times New Roman" w:cs="Times New Roman"/>
        </w:rPr>
        <w:t>teenuseosutajatel alates 2014. aastast EL</w:t>
      </w:r>
      <w:r w:rsidR="00F63430">
        <w:rPr>
          <w:rFonts w:ascii="Times New Roman" w:hAnsi="Times New Roman" w:cs="Times New Roman"/>
        </w:rPr>
        <w:t>-</w:t>
      </w:r>
      <w:r w:rsidR="00F63430" w:rsidRPr="00F63430">
        <w:rPr>
          <w:rFonts w:ascii="Times New Roman" w:hAnsi="Times New Roman" w:cs="Times New Roman"/>
        </w:rPr>
        <w:t>i õiguse alusel enam</w:t>
      </w:r>
      <w:r w:rsidR="00F63430">
        <w:rPr>
          <w:rFonts w:ascii="Times New Roman" w:hAnsi="Times New Roman" w:cs="Times New Roman"/>
        </w:rPr>
        <w:t xml:space="preserve"> </w:t>
      </w:r>
      <w:r w:rsidR="00F63430" w:rsidRPr="00F63430">
        <w:rPr>
          <w:rFonts w:ascii="Times New Roman" w:hAnsi="Times New Roman" w:cs="Times New Roman"/>
        </w:rPr>
        <w:t>kohustust andmeid õiguskaitse eesmärkidel säilitada. Selline andmete säilitamise kohustus on küll</w:t>
      </w:r>
      <w:r w:rsidR="00F63430">
        <w:rPr>
          <w:rFonts w:ascii="Times New Roman" w:hAnsi="Times New Roman" w:cs="Times New Roman"/>
        </w:rPr>
        <w:t xml:space="preserve"> </w:t>
      </w:r>
      <w:r w:rsidR="00F63430" w:rsidRPr="00F63430">
        <w:rPr>
          <w:rFonts w:ascii="Times New Roman" w:hAnsi="Times New Roman" w:cs="Times New Roman"/>
        </w:rPr>
        <w:t>kehtestatud mitmes EL</w:t>
      </w:r>
      <w:r w:rsidR="00F63430">
        <w:rPr>
          <w:rFonts w:ascii="Times New Roman" w:hAnsi="Times New Roman" w:cs="Times New Roman"/>
        </w:rPr>
        <w:t>-</w:t>
      </w:r>
      <w:r w:rsidR="00F63430" w:rsidRPr="00F63430">
        <w:rPr>
          <w:rFonts w:ascii="Times New Roman" w:hAnsi="Times New Roman" w:cs="Times New Roman"/>
        </w:rPr>
        <w:t xml:space="preserve">i liikmesriigis, kuid nende andmete säilitamist reguleerivates </w:t>
      </w:r>
      <w:r w:rsidR="00F63430" w:rsidRPr="00F63430">
        <w:rPr>
          <w:rFonts w:ascii="Times New Roman" w:hAnsi="Times New Roman" w:cs="Times New Roman"/>
        </w:rPr>
        <w:lastRenderedPageBreak/>
        <w:t>normides on suuri</w:t>
      </w:r>
      <w:r w:rsidR="00F63430">
        <w:rPr>
          <w:rFonts w:ascii="Times New Roman" w:hAnsi="Times New Roman" w:cs="Times New Roman"/>
        </w:rPr>
        <w:t xml:space="preserve"> </w:t>
      </w:r>
      <w:r w:rsidR="00F63430" w:rsidRPr="00F63430">
        <w:rPr>
          <w:rFonts w:ascii="Times New Roman" w:hAnsi="Times New Roman" w:cs="Times New Roman"/>
        </w:rPr>
        <w:t>erinevusi.</w:t>
      </w:r>
      <w:r w:rsidR="00F63430">
        <w:rPr>
          <w:rFonts w:ascii="Times New Roman" w:hAnsi="Times New Roman" w:cs="Times New Roman"/>
        </w:rPr>
        <w:t xml:space="preserve"> </w:t>
      </w:r>
      <w:r w:rsidR="00E36760">
        <w:rPr>
          <w:rFonts w:ascii="Times New Roman" w:hAnsi="Times New Roman" w:cs="Times New Roman"/>
        </w:rPr>
        <w:t>Seeläbi võimekus (</w:t>
      </w:r>
      <w:proofErr w:type="spellStart"/>
      <w:r w:rsidR="00E36760">
        <w:rPr>
          <w:rFonts w:ascii="Times New Roman" w:hAnsi="Times New Roman" w:cs="Times New Roman"/>
        </w:rPr>
        <w:t>küber</w:t>
      </w:r>
      <w:proofErr w:type="spellEnd"/>
      <w:r w:rsidR="00E36760">
        <w:rPr>
          <w:rFonts w:ascii="Times New Roman" w:hAnsi="Times New Roman" w:cs="Times New Roman"/>
        </w:rPr>
        <w:t xml:space="preserve">)kuritegude uurimiseks, mis on üha sagedamini piiriülesed ja hõlmavad mitmeid erinevaid liikmesriike, on piiratud </w:t>
      </w:r>
      <w:r>
        <w:rPr>
          <w:rFonts w:ascii="Times New Roman" w:hAnsi="Times New Roman" w:cs="Times New Roman"/>
        </w:rPr>
        <w:t>erinevate õiguslike praktikate ja tehniliste võimekuste tõttu.</w:t>
      </w:r>
    </w:p>
    <w:p w14:paraId="393469DF" w14:textId="77777777" w:rsidR="00F63430" w:rsidRDefault="00F63430" w:rsidP="009778FD">
      <w:pPr>
        <w:spacing w:after="0"/>
        <w:jc w:val="both"/>
        <w:rPr>
          <w:rFonts w:ascii="Times New Roman" w:hAnsi="Times New Roman" w:cs="Times New Roman"/>
        </w:rPr>
      </w:pPr>
    </w:p>
    <w:p w14:paraId="4D3830ED" w14:textId="600D5070" w:rsidR="00F63430" w:rsidRDefault="00F63430" w:rsidP="00B14BBA">
      <w:pPr>
        <w:spacing w:after="0"/>
        <w:jc w:val="both"/>
        <w:rPr>
          <w:rFonts w:ascii="Times New Roman" w:hAnsi="Times New Roman" w:cs="Times New Roman"/>
        </w:rPr>
      </w:pPr>
      <w:r>
        <w:rPr>
          <w:rFonts w:ascii="Times New Roman" w:hAnsi="Times New Roman" w:cs="Times New Roman"/>
        </w:rPr>
        <w:t>Antud olukord, koos EL-i ülese õigusraamistiku puudumisega,</w:t>
      </w:r>
      <w:r w:rsidR="00F94597">
        <w:rPr>
          <w:rFonts w:ascii="Times New Roman" w:hAnsi="Times New Roman" w:cs="Times New Roman"/>
        </w:rPr>
        <w:t xml:space="preserve"> mõjutab tugevalt mitmeid sihtrühmi. Esmalt</w:t>
      </w:r>
      <w:r>
        <w:rPr>
          <w:rFonts w:ascii="Times New Roman" w:hAnsi="Times New Roman" w:cs="Times New Roman"/>
        </w:rPr>
        <w:t xml:space="preserve"> </w:t>
      </w:r>
      <w:r w:rsidRPr="00F63430">
        <w:rPr>
          <w:rFonts w:ascii="Times New Roman" w:hAnsi="Times New Roman" w:cs="Times New Roman"/>
        </w:rPr>
        <w:t>takistab</w:t>
      </w:r>
      <w:r w:rsidR="00F94597">
        <w:rPr>
          <w:rFonts w:ascii="Times New Roman" w:hAnsi="Times New Roman" w:cs="Times New Roman"/>
        </w:rPr>
        <w:t xml:space="preserve"> see oluliselt</w:t>
      </w:r>
      <w:r w:rsidRPr="00F63430">
        <w:rPr>
          <w:rFonts w:ascii="Times New Roman" w:hAnsi="Times New Roman" w:cs="Times New Roman"/>
        </w:rPr>
        <w:t xml:space="preserve"> politsei ja prokuröride tööd, sest sageli ei ole vajalikud andmed uurimise</w:t>
      </w:r>
      <w:r>
        <w:rPr>
          <w:rFonts w:ascii="Times New Roman" w:hAnsi="Times New Roman" w:cs="Times New Roman"/>
        </w:rPr>
        <w:t xml:space="preserve"> </w:t>
      </w:r>
      <w:r w:rsidRPr="00F63430">
        <w:rPr>
          <w:rFonts w:ascii="Times New Roman" w:hAnsi="Times New Roman" w:cs="Times New Roman"/>
        </w:rPr>
        <w:t xml:space="preserve">toimetamise ajal </w:t>
      </w:r>
      <w:r w:rsidR="00F94597">
        <w:rPr>
          <w:rFonts w:ascii="Times New Roman" w:hAnsi="Times New Roman" w:cs="Times New Roman"/>
        </w:rPr>
        <w:t xml:space="preserve">(enam) </w:t>
      </w:r>
      <w:r w:rsidRPr="00F63430">
        <w:rPr>
          <w:rFonts w:ascii="Times New Roman" w:hAnsi="Times New Roman" w:cs="Times New Roman"/>
        </w:rPr>
        <w:t>kättesaadavad. Praeguses olukorras ei saa</w:t>
      </w:r>
      <w:r>
        <w:rPr>
          <w:rFonts w:ascii="Times New Roman" w:hAnsi="Times New Roman" w:cs="Times New Roman"/>
        </w:rPr>
        <w:t xml:space="preserve"> </w:t>
      </w:r>
      <w:r w:rsidRPr="00F63430">
        <w:rPr>
          <w:rFonts w:ascii="Times New Roman" w:hAnsi="Times New Roman" w:cs="Times New Roman"/>
        </w:rPr>
        <w:t>teatavaid kuritegusid, eelkõige neid, mis leiavad aset üksnes internetis, tõhusalt uurida ega nende eest</w:t>
      </w:r>
      <w:r>
        <w:rPr>
          <w:rFonts w:ascii="Times New Roman" w:hAnsi="Times New Roman" w:cs="Times New Roman"/>
        </w:rPr>
        <w:t xml:space="preserve"> </w:t>
      </w:r>
      <w:r w:rsidRPr="00F63430">
        <w:rPr>
          <w:rFonts w:ascii="Times New Roman" w:hAnsi="Times New Roman" w:cs="Times New Roman"/>
        </w:rPr>
        <w:t>süüdistust esitada.</w:t>
      </w:r>
      <w:r>
        <w:rPr>
          <w:rFonts w:ascii="Times New Roman" w:hAnsi="Times New Roman" w:cs="Times New Roman"/>
        </w:rPr>
        <w:t xml:space="preserve"> Teisalt tekitab varieeruv liikmesriikide praktika ka ebaühtlaseid kohustusi sideteenuste pakkujatele</w:t>
      </w:r>
      <w:r w:rsidR="00B14BBA">
        <w:rPr>
          <w:rFonts w:ascii="Times New Roman" w:hAnsi="Times New Roman" w:cs="Times New Roman"/>
        </w:rPr>
        <w:t xml:space="preserve">: neis riikides, kus kehtivad riiklikud normid sideandmete säilitamiseks, on teenusepakkujatel oluliselt suuremad kulud ja halduskoormus võrreldes nende riikidega, kus </w:t>
      </w:r>
      <w:proofErr w:type="spellStart"/>
      <w:r w:rsidR="00B14BBA">
        <w:rPr>
          <w:rFonts w:ascii="Times New Roman" w:hAnsi="Times New Roman" w:cs="Times New Roman"/>
        </w:rPr>
        <w:t>metaandmete</w:t>
      </w:r>
      <w:proofErr w:type="spellEnd"/>
      <w:r w:rsidR="00B14BBA">
        <w:rPr>
          <w:rFonts w:ascii="Times New Roman" w:hAnsi="Times New Roman" w:cs="Times New Roman"/>
        </w:rPr>
        <w:t xml:space="preserve"> säilitamine ei ole reguleeritud üldse. </w:t>
      </w:r>
      <w:r w:rsidR="00B14BBA" w:rsidRPr="00B14BBA">
        <w:rPr>
          <w:rFonts w:ascii="Times New Roman" w:hAnsi="Times New Roman" w:cs="Times New Roman"/>
        </w:rPr>
        <w:t>Lisaks kohaldatakse enamikku liikmesriikide andmete säilitamise õigusnorme üksnes</w:t>
      </w:r>
      <w:r w:rsidR="00B14BBA">
        <w:rPr>
          <w:rFonts w:ascii="Times New Roman" w:hAnsi="Times New Roman" w:cs="Times New Roman"/>
        </w:rPr>
        <w:t xml:space="preserve"> </w:t>
      </w:r>
      <w:r w:rsidR="00B14BBA" w:rsidRPr="00B14BBA">
        <w:rPr>
          <w:rFonts w:ascii="Times New Roman" w:hAnsi="Times New Roman" w:cs="Times New Roman"/>
        </w:rPr>
        <w:t>traditsiooniliste telekommunikatsiooni</w:t>
      </w:r>
      <w:r w:rsidR="00F94597">
        <w:rPr>
          <w:rFonts w:ascii="Times New Roman" w:hAnsi="Times New Roman" w:cs="Times New Roman"/>
        </w:rPr>
        <w:t xml:space="preserve"> </w:t>
      </w:r>
      <w:r w:rsidR="00B14BBA" w:rsidRPr="00B14BBA">
        <w:rPr>
          <w:rFonts w:ascii="Times New Roman" w:hAnsi="Times New Roman" w:cs="Times New Roman"/>
        </w:rPr>
        <w:t>platvormide suhtes. Need ei hõlma sideteenuste osutajaid, kes</w:t>
      </w:r>
      <w:r w:rsidR="00B14BBA">
        <w:rPr>
          <w:rFonts w:ascii="Times New Roman" w:hAnsi="Times New Roman" w:cs="Times New Roman"/>
        </w:rPr>
        <w:t xml:space="preserve"> </w:t>
      </w:r>
      <w:r w:rsidR="00B14BBA" w:rsidRPr="00B14BBA">
        <w:rPr>
          <w:rFonts w:ascii="Times New Roman" w:hAnsi="Times New Roman" w:cs="Times New Roman"/>
        </w:rPr>
        <w:t>pakuvad oma teenuseid interneti kaudu, mida praegu kasutatakse suhtluseks kõige enam. Erinevad</w:t>
      </w:r>
      <w:r w:rsidR="00B14BBA">
        <w:rPr>
          <w:rFonts w:ascii="Times New Roman" w:hAnsi="Times New Roman" w:cs="Times New Roman"/>
        </w:rPr>
        <w:t xml:space="preserve"> </w:t>
      </w:r>
      <w:r w:rsidR="00B14BBA" w:rsidRPr="00B14BBA">
        <w:rPr>
          <w:rFonts w:ascii="Times New Roman" w:hAnsi="Times New Roman" w:cs="Times New Roman"/>
        </w:rPr>
        <w:t>riigisisesed õigusaktid mõjutavad ka kodanikke, kui ajaks, mil hakatakse viima läbi kriminaaluurimist,</w:t>
      </w:r>
      <w:r w:rsidR="00B14BBA">
        <w:rPr>
          <w:rFonts w:ascii="Times New Roman" w:hAnsi="Times New Roman" w:cs="Times New Roman"/>
        </w:rPr>
        <w:t xml:space="preserve"> </w:t>
      </w:r>
      <w:r w:rsidR="00B14BBA" w:rsidRPr="00B14BBA">
        <w:rPr>
          <w:rFonts w:ascii="Times New Roman" w:hAnsi="Times New Roman" w:cs="Times New Roman"/>
        </w:rPr>
        <w:t>on vajalikud muud kui sisuandmed juba kustutatud. Sellisel juhul ei pruugi ametiasutustel olla võimalik</w:t>
      </w:r>
      <w:r w:rsidR="00B14BBA">
        <w:rPr>
          <w:rFonts w:ascii="Times New Roman" w:hAnsi="Times New Roman" w:cs="Times New Roman"/>
        </w:rPr>
        <w:t xml:space="preserve"> </w:t>
      </w:r>
      <w:r w:rsidR="00B14BBA" w:rsidRPr="00B14BBA">
        <w:rPr>
          <w:rFonts w:ascii="Times New Roman" w:hAnsi="Times New Roman" w:cs="Times New Roman"/>
        </w:rPr>
        <w:t>kodanikke piisavalt kaitsta ega nende suhtes õigust jalule seada. Need erinevused liikmesriikide</w:t>
      </w:r>
      <w:r w:rsidR="00B14BBA">
        <w:rPr>
          <w:rFonts w:ascii="Times New Roman" w:hAnsi="Times New Roman" w:cs="Times New Roman"/>
        </w:rPr>
        <w:t xml:space="preserve"> </w:t>
      </w:r>
      <w:r w:rsidR="00B14BBA" w:rsidRPr="00B14BBA">
        <w:rPr>
          <w:rFonts w:ascii="Times New Roman" w:hAnsi="Times New Roman" w:cs="Times New Roman"/>
        </w:rPr>
        <w:t>õigusnormide vahel suurenevad tõenäoliselt uute digitaalsete kommunikatsioonitehnoloogiate ja -</w:t>
      </w:r>
      <w:r w:rsidR="00B14BBA">
        <w:rPr>
          <w:rFonts w:ascii="Times New Roman" w:hAnsi="Times New Roman" w:cs="Times New Roman"/>
        </w:rPr>
        <w:t xml:space="preserve"> </w:t>
      </w:r>
      <w:r w:rsidR="00B14BBA" w:rsidRPr="00B14BBA">
        <w:rPr>
          <w:rFonts w:ascii="Times New Roman" w:hAnsi="Times New Roman" w:cs="Times New Roman"/>
        </w:rPr>
        <w:t>teenuste kasutuselevõtuga tulevikus veelgi.</w:t>
      </w:r>
    </w:p>
    <w:p w14:paraId="3C76CEB5" w14:textId="77777777" w:rsidR="00745574" w:rsidRDefault="00745574" w:rsidP="009778FD">
      <w:pPr>
        <w:spacing w:after="0"/>
        <w:jc w:val="both"/>
        <w:rPr>
          <w:rFonts w:ascii="Times New Roman" w:hAnsi="Times New Roman" w:cs="Times New Roman"/>
        </w:rPr>
      </w:pPr>
    </w:p>
    <w:p w14:paraId="24806808" w14:textId="433BD510" w:rsidR="00195450" w:rsidRPr="0015602F" w:rsidRDefault="00745574" w:rsidP="00820C6B">
      <w:pPr>
        <w:spacing w:after="0" w:line="276" w:lineRule="auto"/>
        <w:jc w:val="both"/>
        <w:rPr>
          <w:rFonts w:ascii="Times New Roman" w:hAnsi="Times New Roman" w:cs="Times New Roman"/>
        </w:rPr>
      </w:pPr>
      <w:r>
        <w:rPr>
          <w:rFonts w:ascii="Times New Roman" w:hAnsi="Times New Roman" w:cs="Times New Roman"/>
        </w:rPr>
        <w:t xml:space="preserve">Sellest tulenevalt on </w:t>
      </w:r>
      <w:r w:rsidR="00545B83">
        <w:rPr>
          <w:rFonts w:ascii="Times New Roman" w:hAnsi="Times New Roman" w:cs="Times New Roman"/>
        </w:rPr>
        <w:t xml:space="preserve">EL astunud samme hindamaks valdkonna reguleerimise võimalikkust. Esimese sammu astus EL Nõukogu eesistuja Rootsi, kes kutsus </w:t>
      </w:r>
      <w:r w:rsidR="00820C6B">
        <w:rPr>
          <w:rFonts w:ascii="Times New Roman" w:hAnsi="Times New Roman" w:cs="Times New Roman"/>
        </w:rPr>
        <w:t xml:space="preserve">2023. aasta alguses kõrgetasemelise töörühma (ingl. k. </w:t>
      </w:r>
      <w:proofErr w:type="spellStart"/>
      <w:r w:rsidR="00820C6B">
        <w:rPr>
          <w:rFonts w:ascii="Times New Roman" w:hAnsi="Times New Roman" w:cs="Times New Roman"/>
          <w:i/>
          <w:iCs/>
        </w:rPr>
        <w:t>High-Level</w:t>
      </w:r>
      <w:proofErr w:type="spellEnd"/>
      <w:r w:rsidR="00820C6B">
        <w:rPr>
          <w:rFonts w:ascii="Times New Roman" w:hAnsi="Times New Roman" w:cs="Times New Roman"/>
          <w:i/>
          <w:iCs/>
        </w:rPr>
        <w:t xml:space="preserve"> Group</w:t>
      </w:r>
      <w:r w:rsidR="00820C6B">
        <w:rPr>
          <w:rFonts w:ascii="Times New Roman" w:hAnsi="Times New Roman" w:cs="Times New Roman"/>
        </w:rPr>
        <w:t xml:space="preserve">, edaspidi HLG), kuhu kuulusid lisaks liikmesriikidele ka </w:t>
      </w:r>
      <w:r w:rsidR="00820C6B" w:rsidRPr="0015602F">
        <w:rPr>
          <w:rFonts w:ascii="Times New Roman" w:hAnsi="Times New Roman" w:cs="Times New Roman"/>
        </w:rPr>
        <w:t>Euroopa Komisjon</w:t>
      </w:r>
      <w:r w:rsidR="00820C6B">
        <w:rPr>
          <w:rFonts w:ascii="Times New Roman" w:hAnsi="Times New Roman" w:cs="Times New Roman"/>
        </w:rPr>
        <w:t>i</w:t>
      </w:r>
      <w:r w:rsidR="00820C6B" w:rsidRPr="0015602F">
        <w:rPr>
          <w:rFonts w:ascii="Times New Roman" w:hAnsi="Times New Roman" w:cs="Times New Roman"/>
        </w:rPr>
        <w:t>, Euroopa Liidu Õiguskaitsekoolituse Amet</w:t>
      </w:r>
      <w:r w:rsidR="00820C6B">
        <w:rPr>
          <w:rFonts w:ascii="Times New Roman" w:hAnsi="Times New Roman" w:cs="Times New Roman"/>
        </w:rPr>
        <w:t>i</w:t>
      </w:r>
      <w:r w:rsidR="00820C6B" w:rsidRPr="0015602F">
        <w:rPr>
          <w:rFonts w:ascii="Times New Roman" w:hAnsi="Times New Roman" w:cs="Times New Roman"/>
        </w:rPr>
        <w:t>, Europol</w:t>
      </w:r>
      <w:r w:rsidR="00820C6B">
        <w:rPr>
          <w:rFonts w:ascii="Times New Roman" w:hAnsi="Times New Roman" w:cs="Times New Roman"/>
        </w:rPr>
        <w:t>i</w:t>
      </w:r>
      <w:r w:rsidR="00820C6B" w:rsidRPr="0015602F">
        <w:rPr>
          <w:rFonts w:ascii="Times New Roman" w:hAnsi="Times New Roman" w:cs="Times New Roman"/>
        </w:rPr>
        <w:t xml:space="preserve">, </w:t>
      </w:r>
      <w:proofErr w:type="spellStart"/>
      <w:r w:rsidR="00820C6B" w:rsidRPr="0015602F">
        <w:rPr>
          <w:rFonts w:ascii="Times New Roman" w:hAnsi="Times New Roman" w:cs="Times New Roman"/>
        </w:rPr>
        <w:t>Eurojust</w:t>
      </w:r>
      <w:r w:rsidR="00820C6B">
        <w:rPr>
          <w:rFonts w:ascii="Times New Roman" w:hAnsi="Times New Roman" w:cs="Times New Roman"/>
        </w:rPr>
        <w:t>i</w:t>
      </w:r>
      <w:proofErr w:type="spellEnd"/>
      <w:r w:rsidR="00820C6B" w:rsidRPr="0015602F">
        <w:rPr>
          <w:rFonts w:ascii="Times New Roman" w:hAnsi="Times New Roman" w:cs="Times New Roman"/>
        </w:rPr>
        <w:t>, Euroopa Liidu Põhiõiguste Amet</w:t>
      </w:r>
      <w:r w:rsidR="00820C6B">
        <w:rPr>
          <w:rFonts w:ascii="Times New Roman" w:hAnsi="Times New Roman" w:cs="Times New Roman"/>
        </w:rPr>
        <w:t>i</w:t>
      </w:r>
      <w:r w:rsidR="00820C6B" w:rsidRPr="0015602F">
        <w:rPr>
          <w:rFonts w:ascii="Times New Roman" w:hAnsi="Times New Roman" w:cs="Times New Roman"/>
        </w:rPr>
        <w:t>, Euroopa Andmekaitseinspektor</w:t>
      </w:r>
      <w:r w:rsidR="00820C6B">
        <w:rPr>
          <w:rFonts w:ascii="Times New Roman" w:hAnsi="Times New Roman" w:cs="Times New Roman"/>
        </w:rPr>
        <w:t>i</w:t>
      </w:r>
      <w:r w:rsidR="00820C6B" w:rsidRPr="0015602F">
        <w:rPr>
          <w:rFonts w:ascii="Times New Roman" w:hAnsi="Times New Roman" w:cs="Times New Roman"/>
        </w:rPr>
        <w:t xml:space="preserve"> </w:t>
      </w:r>
      <w:r w:rsidR="00820C6B">
        <w:rPr>
          <w:rFonts w:ascii="Times New Roman" w:hAnsi="Times New Roman" w:cs="Times New Roman"/>
        </w:rPr>
        <w:t xml:space="preserve">esindajad. </w:t>
      </w:r>
      <w:r w:rsidR="00820C6B" w:rsidRPr="0015602F">
        <w:rPr>
          <w:rFonts w:ascii="Times New Roman" w:hAnsi="Times New Roman" w:cs="Times New Roman"/>
        </w:rPr>
        <w:t xml:space="preserve">HLG töörühma alla loodi alamrühmad, mis koosnesid liikmesriikide ekspertidest. Kokku oli kolm alarühma, mis jaotusid järgmiselt: i) andmete ligipääs teenusepakkuja juures; ii) andmetele ligipääs inimese seadmes; </w:t>
      </w:r>
      <w:r w:rsidR="00820C6B">
        <w:rPr>
          <w:rFonts w:ascii="Times New Roman" w:hAnsi="Times New Roman" w:cs="Times New Roman"/>
        </w:rPr>
        <w:t xml:space="preserve">ning </w:t>
      </w:r>
      <w:r w:rsidR="00820C6B" w:rsidRPr="0015602F">
        <w:rPr>
          <w:rFonts w:ascii="Times New Roman" w:hAnsi="Times New Roman" w:cs="Times New Roman"/>
        </w:rPr>
        <w:t>iii) andmetele ligipääs vahendamisel (ingl. k.</w:t>
      </w:r>
      <w:r w:rsidR="00820C6B" w:rsidRPr="0015602F">
        <w:rPr>
          <w:rFonts w:ascii="Times New Roman" w:hAnsi="Times New Roman" w:cs="Times New Roman"/>
          <w:i/>
          <w:iCs/>
        </w:rPr>
        <w:t xml:space="preserve">in </w:t>
      </w:r>
      <w:proofErr w:type="spellStart"/>
      <w:r w:rsidR="00820C6B" w:rsidRPr="0015602F">
        <w:rPr>
          <w:rFonts w:ascii="Times New Roman" w:hAnsi="Times New Roman" w:cs="Times New Roman"/>
          <w:i/>
          <w:iCs/>
        </w:rPr>
        <w:t>transit</w:t>
      </w:r>
      <w:proofErr w:type="spellEnd"/>
      <w:r w:rsidR="00820C6B" w:rsidRPr="0015602F">
        <w:rPr>
          <w:rFonts w:ascii="Times New Roman" w:hAnsi="Times New Roman" w:cs="Times New Roman"/>
        </w:rPr>
        <w:t xml:space="preserve">). Iga alamrühma teema juures arutati nii praktilisi kui juriidilisi probleemkohti. </w:t>
      </w:r>
      <w:r w:rsidR="00820C6B">
        <w:rPr>
          <w:rFonts w:ascii="Times New Roman" w:hAnsi="Times New Roman" w:cs="Times New Roman"/>
        </w:rPr>
        <w:t>Pärast Rootsi EL Nõukogu eesistumise lõppemist jätkas iga järgnev eesistujariik antud formaadiga, viies läbi</w:t>
      </w:r>
      <w:r w:rsidR="00820C6B" w:rsidRPr="0015602F">
        <w:rPr>
          <w:rFonts w:ascii="Times New Roman" w:hAnsi="Times New Roman" w:cs="Times New Roman"/>
        </w:rPr>
        <w:t xml:space="preserve"> kaks plenaarkohtumist</w:t>
      </w:r>
      <w:r w:rsidR="00820C6B">
        <w:rPr>
          <w:rFonts w:ascii="Times New Roman" w:hAnsi="Times New Roman" w:cs="Times New Roman"/>
        </w:rPr>
        <w:t xml:space="preserve"> poolaastas</w:t>
      </w:r>
      <w:r w:rsidR="00820C6B" w:rsidRPr="0015602F">
        <w:rPr>
          <w:rFonts w:ascii="Times New Roman" w:hAnsi="Times New Roman" w:cs="Times New Roman"/>
        </w:rPr>
        <w:t xml:space="preserve">, kuhu alamrühmade tulemustest aru anti. Lisaks andis HLG ülevaateid jooksvalt EL sisejulgeolekualase operatiivkoostöö alalisele komiteele (COSI), kus on Eesti esindajaks Siseministeeriumi sisejulgeoleku asekantsler. </w:t>
      </w:r>
    </w:p>
    <w:p w14:paraId="45F55515" w14:textId="23FFC958" w:rsidR="00820C6B" w:rsidRDefault="00820C6B" w:rsidP="00820C6B">
      <w:pPr>
        <w:spacing w:after="0" w:line="276" w:lineRule="auto"/>
        <w:jc w:val="both"/>
        <w:rPr>
          <w:rFonts w:ascii="Times New Roman" w:hAnsi="Times New Roman" w:cs="Times New Roman"/>
        </w:rPr>
      </w:pPr>
    </w:p>
    <w:p w14:paraId="1E8FD830" w14:textId="58340313" w:rsidR="00820C6B" w:rsidRPr="0015602F" w:rsidRDefault="00820C6B" w:rsidP="00820C6B">
      <w:pPr>
        <w:spacing w:after="0" w:line="276" w:lineRule="auto"/>
        <w:jc w:val="both"/>
        <w:rPr>
          <w:rFonts w:ascii="Times New Roman" w:hAnsi="Times New Roman" w:cs="Times New Roman"/>
        </w:rPr>
      </w:pPr>
      <w:r w:rsidRPr="0015602F">
        <w:rPr>
          <w:rFonts w:ascii="Times New Roman" w:hAnsi="Times New Roman" w:cs="Times New Roman"/>
        </w:rPr>
        <w:t>Rootsi, Hispaania ja Belgia EL Nõukogu eesistumise perioodi jooksul valmis töörühma töö tulemusena 42-st soovitusest koosnev dokument. Soovitused on jaotatud kolme kategooriasse: i) võimekuste tõstmine; ii) koostöö parandamine ja standardiseerimine; ning iii) õiguslikud muudatused. Allmärkusena märgit</w:t>
      </w:r>
      <w:r>
        <w:rPr>
          <w:rFonts w:ascii="Times New Roman" w:hAnsi="Times New Roman" w:cs="Times New Roman"/>
        </w:rPr>
        <w:t>i</w:t>
      </w:r>
      <w:r w:rsidRPr="0015602F">
        <w:rPr>
          <w:rFonts w:ascii="Times New Roman" w:hAnsi="Times New Roman" w:cs="Times New Roman"/>
        </w:rPr>
        <w:t xml:space="preserve">, et soovitused ei ole EL Nõukogu ega Euroopa Komisjoni kokkulepitud seisukoht, vaid </w:t>
      </w:r>
      <w:r>
        <w:rPr>
          <w:rFonts w:ascii="Times New Roman" w:hAnsi="Times New Roman" w:cs="Times New Roman"/>
        </w:rPr>
        <w:t xml:space="preserve"> </w:t>
      </w:r>
      <w:r w:rsidRPr="0015602F">
        <w:rPr>
          <w:rFonts w:ascii="Times New Roman" w:hAnsi="Times New Roman" w:cs="Times New Roman"/>
        </w:rPr>
        <w:t>HLG</w:t>
      </w:r>
      <w:r>
        <w:rPr>
          <w:rFonts w:ascii="Times New Roman" w:hAnsi="Times New Roman" w:cs="Times New Roman"/>
        </w:rPr>
        <w:t xml:space="preserve"> </w:t>
      </w:r>
      <w:r w:rsidRPr="0015602F">
        <w:rPr>
          <w:rFonts w:ascii="Times New Roman" w:hAnsi="Times New Roman" w:cs="Times New Roman"/>
        </w:rPr>
        <w:t>soovitused ja seisukohad.</w:t>
      </w:r>
      <w:r>
        <w:rPr>
          <w:rFonts w:ascii="Times New Roman" w:hAnsi="Times New Roman" w:cs="Times New Roman"/>
        </w:rPr>
        <w:t xml:space="preserve"> </w:t>
      </w:r>
      <w:r w:rsidRPr="0015602F">
        <w:rPr>
          <w:rFonts w:ascii="Times New Roman" w:hAnsi="Times New Roman" w:cs="Times New Roman"/>
        </w:rPr>
        <w:t>29. – 30. mail</w:t>
      </w:r>
      <w:r>
        <w:rPr>
          <w:rFonts w:ascii="Times New Roman" w:hAnsi="Times New Roman" w:cs="Times New Roman"/>
        </w:rPr>
        <w:t xml:space="preserve"> 2024</w:t>
      </w:r>
      <w:r w:rsidRPr="0015602F">
        <w:rPr>
          <w:rFonts w:ascii="Times New Roman" w:hAnsi="Times New Roman" w:cs="Times New Roman"/>
        </w:rPr>
        <w:t xml:space="preserve"> toimunud</w:t>
      </w:r>
      <w:r>
        <w:rPr>
          <w:rFonts w:ascii="Times New Roman" w:hAnsi="Times New Roman" w:cs="Times New Roman"/>
        </w:rPr>
        <w:t xml:space="preserve"> COSI</w:t>
      </w:r>
      <w:r w:rsidRPr="0015602F">
        <w:rPr>
          <w:rFonts w:ascii="Times New Roman" w:hAnsi="Times New Roman" w:cs="Times New Roman"/>
        </w:rPr>
        <w:t xml:space="preserve"> istungil avaldati soovitustele kõrgemate ametnike tasemel toetust ning 13. – 14. juunil 2024 toimunud EL justiits- ja siseküsimuste nõukogu istungil kinnitasid esitatud soovitusi ka liikmesriikide siseministrid. </w:t>
      </w:r>
    </w:p>
    <w:p w14:paraId="0F655B7E" w14:textId="77777777" w:rsidR="00820C6B" w:rsidRPr="0015602F" w:rsidRDefault="00820C6B" w:rsidP="00820C6B">
      <w:pPr>
        <w:spacing w:after="0" w:line="276" w:lineRule="auto"/>
        <w:jc w:val="both"/>
        <w:rPr>
          <w:rFonts w:ascii="Times New Roman" w:hAnsi="Times New Roman" w:cs="Times New Roman"/>
        </w:rPr>
      </w:pPr>
    </w:p>
    <w:p w14:paraId="3E73B123" w14:textId="562E6DDF" w:rsidR="00820C6B" w:rsidRPr="0015602F" w:rsidRDefault="00820C6B" w:rsidP="00820C6B">
      <w:pPr>
        <w:spacing w:after="0" w:line="276" w:lineRule="auto"/>
        <w:jc w:val="both"/>
        <w:rPr>
          <w:rFonts w:ascii="Times New Roman" w:hAnsi="Times New Roman" w:cs="Times New Roman"/>
        </w:rPr>
      </w:pPr>
      <w:r w:rsidRPr="0015602F">
        <w:rPr>
          <w:rFonts w:ascii="Times New Roman" w:hAnsi="Times New Roman" w:cs="Times New Roman"/>
        </w:rPr>
        <w:lastRenderedPageBreak/>
        <w:t xml:space="preserve">Euroopa Komisjoni </w:t>
      </w:r>
      <w:r>
        <w:rPr>
          <w:rFonts w:ascii="Times New Roman" w:hAnsi="Times New Roman" w:cs="Times New Roman"/>
        </w:rPr>
        <w:t xml:space="preserve">temaatiline </w:t>
      </w:r>
      <w:r w:rsidRPr="0015602F">
        <w:rPr>
          <w:rFonts w:ascii="Times New Roman" w:hAnsi="Times New Roman" w:cs="Times New Roman"/>
        </w:rPr>
        <w:t xml:space="preserve">lõppraport kiideti HLG töörühma poolt heaks 15. novembri 2024 plenaarkohtumisel. Samuti avaldati raportile toetust 27. novembril 2024 COSI istungil. Ungari </w:t>
      </w:r>
      <w:r>
        <w:rPr>
          <w:rFonts w:ascii="Times New Roman" w:hAnsi="Times New Roman" w:cs="Times New Roman"/>
        </w:rPr>
        <w:t>EL Nõukogu eesistumise ajal</w:t>
      </w:r>
      <w:r w:rsidRPr="0015602F">
        <w:rPr>
          <w:rFonts w:ascii="Times New Roman" w:hAnsi="Times New Roman" w:cs="Times New Roman"/>
        </w:rPr>
        <w:t xml:space="preserve"> koosta</w:t>
      </w:r>
      <w:r>
        <w:rPr>
          <w:rFonts w:ascii="Times New Roman" w:hAnsi="Times New Roman" w:cs="Times New Roman"/>
        </w:rPr>
        <w:t>ti</w:t>
      </w:r>
      <w:r w:rsidRPr="0015602F">
        <w:rPr>
          <w:rFonts w:ascii="Times New Roman" w:hAnsi="Times New Roman" w:cs="Times New Roman"/>
        </w:rPr>
        <w:t xml:space="preserve"> HLG tulemuste fikseerimiseks </w:t>
      </w:r>
      <w:r w:rsidR="00C677D8">
        <w:rPr>
          <w:rFonts w:ascii="Times New Roman" w:hAnsi="Times New Roman" w:cs="Times New Roman"/>
        </w:rPr>
        <w:t>EL justiits- ja siseküsimuste</w:t>
      </w:r>
      <w:r>
        <w:rPr>
          <w:rFonts w:ascii="Times New Roman" w:hAnsi="Times New Roman" w:cs="Times New Roman"/>
        </w:rPr>
        <w:t xml:space="preserve"> </w:t>
      </w:r>
      <w:r w:rsidRPr="0015602F">
        <w:rPr>
          <w:rFonts w:ascii="Times New Roman" w:hAnsi="Times New Roman" w:cs="Times New Roman"/>
        </w:rPr>
        <w:t>nõukogu järeldused, mis kuts</w:t>
      </w:r>
      <w:r>
        <w:rPr>
          <w:rFonts w:ascii="Times New Roman" w:hAnsi="Times New Roman" w:cs="Times New Roman"/>
        </w:rPr>
        <w:t>usid</w:t>
      </w:r>
      <w:r w:rsidRPr="0015602F">
        <w:rPr>
          <w:rFonts w:ascii="Times New Roman" w:hAnsi="Times New Roman" w:cs="Times New Roman"/>
        </w:rPr>
        <w:t xml:space="preserve"> Euroopa Komisjoni üles koostama teekaarti ja mõjuhinnangut 2025. aasta II kvartaliks. Sellele peaksid omakorda järgnema vajalikud õiguslikud meetmed. 12.-13. detsembril 2024 toimunud </w:t>
      </w:r>
      <w:r w:rsidR="00C677D8">
        <w:rPr>
          <w:rFonts w:ascii="Times New Roman" w:hAnsi="Times New Roman" w:cs="Times New Roman"/>
        </w:rPr>
        <w:t xml:space="preserve">EL justiits- ja siseküsimuste </w:t>
      </w:r>
      <w:r w:rsidR="00C677D8" w:rsidRPr="0015602F">
        <w:rPr>
          <w:rFonts w:ascii="Times New Roman" w:hAnsi="Times New Roman" w:cs="Times New Roman"/>
        </w:rPr>
        <w:t>nõukogu</w:t>
      </w:r>
      <w:r w:rsidRPr="0015602F">
        <w:rPr>
          <w:rFonts w:ascii="Times New Roman" w:hAnsi="Times New Roman" w:cs="Times New Roman"/>
        </w:rPr>
        <w:t xml:space="preserve"> istungil</w:t>
      </w:r>
      <w:r w:rsidR="00C677D8">
        <w:rPr>
          <w:rFonts w:ascii="Times New Roman" w:hAnsi="Times New Roman" w:cs="Times New Roman"/>
        </w:rPr>
        <w:t xml:space="preserve"> arutasid</w:t>
      </w:r>
      <w:r>
        <w:rPr>
          <w:rFonts w:ascii="Times New Roman" w:hAnsi="Times New Roman" w:cs="Times New Roman"/>
        </w:rPr>
        <w:t xml:space="preserve"> siseministri</w:t>
      </w:r>
      <w:r w:rsidR="00C677D8">
        <w:rPr>
          <w:rFonts w:ascii="Times New Roman" w:hAnsi="Times New Roman" w:cs="Times New Roman"/>
        </w:rPr>
        <w:t>d</w:t>
      </w:r>
      <w:r>
        <w:rPr>
          <w:rFonts w:ascii="Times New Roman" w:hAnsi="Times New Roman" w:cs="Times New Roman"/>
        </w:rPr>
        <w:t xml:space="preserve"> </w:t>
      </w:r>
      <w:r w:rsidRPr="0015602F">
        <w:rPr>
          <w:rFonts w:ascii="Times New Roman" w:hAnsi="Times New Roman" w:cs="Times New Roman"/>
        </w:rPr>
        <w:t>soovituste, lõppraporti ja</w:t>
      </w:r>
      <w:r>
        <w:rPr>
          <w:rFonts w:ascii="Times New Roman" w:hAnsi="Times New Roman" w:cs="Times New Roman"/>
        </w:rPr>
        <w:t xml:space="preserve"> </w:t>
      </w:r>
      <w:r w:rsidR="00C677D8">
        <w:rPr>
          <w:rFonts w:ascii="Times New Roman" w:hAnsi="Times New Roman" w:cs="Times New Roman"/>
        </w:rPr>
        <w:t xml:space="preserve">temaatiliste </w:t>
      </w:r>
      <w:r w:rsidRPr="0015602F">
        <w:rPr>
          <w:rFonts w:ascii="Times New Roman" w:hAnsi="Times New Roman" w:cs="Times New Roman"/>
        </w:rPr>
        <w:t xml:space="preserve">nõukogu järelduste </w:t>
      </w:r>
      <w:r w:rsidR="00C677D8">
        <w:rPr>
          <w:rFonts w:ascii="Times New Roman" w:hAnsi="Times New Roman" w:cs="Times New Roman"/>
        </w:rPr>
        <w:t>üle</w:t>
      </w:r>
      <w:r w:rsidRPr="0015602F">
        <w:rPr>
          <w:rFonts w:ascii="Times New Roman" w:hAnsi="Times New Roman" w:cs="Times New Roman"/>
        </w:rPr>
        <w:t>. Liikmesriigid avaldasid töörühma tulemustele ja edasistele sammudele toetust</w:t>
      </w:r>
      <w:r w:rsidR="00DF276E">
        <w:rPr>
          <w:rFonts w:ascii="Times New Roman" w:hAnsi="Times New Roman" w:cs="Times New Roman"/>
        </w:rPr>
        <w:t xml:space="preserve">, mis kajastub ka </w:t>
      </w:r>
      <w:hyperlink r:id="rId18" w:history="1">
        <w:r w:rsidR="00DF276E" w:rsidRPr="00DF276E">
          <w:rPr>
            <w:rStyle w:val="Hperlink"/>
            <w:rFonts w:ascii="Times New Roman" w:hAnsi="Times New Roman" w:cs="Times New Roman"/>
          </w:rPr>
          <w:t>12. detsembril 2024 kinnitatud nõukogu järeldustes.</w:t>
        </w:r>
      </w:hyperlink>
      <w:r w:rsidR="00DF276E">
        <w:rPr>
          <w:rFonts w:ascii="Times New Roman" w:hAnsi="Times New Roman" w:cs="Times New Roman"/>
        </w:rPr>
        <w:t xml:space="preserve"> </w:t>
      </w:r>
    </w:p>
    <w:p w14:paraId="775F66AD" w14:textId="77777777" w:rsidR="00820C6B" w:rsidRPr="0015602F" w:rsidRDefault="00820C6B" w:rsidP="00820C6B">
      <w:pPr>
        <w:spacing w:after="0" w:line="276" w:lineRule="auto"/>
        <w:jc w:val="both"/>
        <w:rPr>
          <w:rFonts w:ascii="Times New Roman" w:hAnsi="Times New Roman" w:cs="Times New Roman"/>
        </w:rPr>
      </w:pPr>
    </w:p>
    <w:p w14:paraId="2B996237" w14:textId="13178C8F" w:rsidR="00C677D8" w:rsidRDefault="00820C6B" w:rsidP="00820C6B">
      <w:pPr>
        <w:spacing w:after="0" w:line="276" w:lineRule="auto"/>
        <w:jc w:val="both"/>
        <w:rPr>
          <w:rFonts w:ascii="Times New Roman" w:hAnsi="Times New Roman" w:cs="Times New Roman"/>
        </w:rPr>
      </w:pPr>
      <w:r w:rsidRPr="0015602F">
        <w:rPr>
          <w:rFonts w:ascii="Times New Roman" w:hAnsi="Times New Roman" w:cs="Times New Roman"/>
        </w:rPr>
        <w:t>16.</w:t>
      </w:r>
      <w:r>
        <w:rPr>
          <w:rFonts w:ascii="Times New Roman" w:hAnsi="Times New Roman" w:cs="Times New Roman"/>
        </w:rPr>
        <w:t xml:space="preserve"> </w:t>
      </w:r>
      <w:r w:rsidRPr="0015602F">
        <w:rPr>
          <w:rFonts w:ascii="Times New Roman" w:hAnsi="Times New Roman" w:cs="Times New Roman"/>
        </w:rPr>
        <w:t xml:space="preserve">mail 2025 toimunud COSI istungil </w:t>
      </w:r>
      <w:r>
        <w:rPr>
          <w:rFonts w:ascii="Times New Roman" w:hAnsi="Times New Roman" w:cs="Times New Roman"/>
        </w:rPr>
        <w:t xml:space="preserve">tutvustas </w:t>
      </w:r>
      <w:r w:rsidRPr="0015602F">
        <w:rPr>
          <w:rFonts w:ascii="Times New Roman" w:hAnsi="Times New Roman" w:cs="Times New Roman"/>
        </w:rPr>
        <w:t xml:space="preserve">EL Nõukogu eesistuja Poola lühiajalisi meetmeid, mille hulka kuulusid mh digiekspertiisi tööriistade arendamine, litsentside jagamine, infovahetus ja teadmiste levitamine ning koolituste pakkumine. </w:t>
      </w:r>
      <w:r>
        <w:rPr>
          <w:rFonts w:ascii="Times New Roman" w:hAnsi="Times New Roman" w:cs="Times New Roman"/>
        </w:rPr>
        <w:t>Istungil jõuti järeldusele</w:t>
      </w:r>
      <w:r w:rsidRPr="0015602F">
        <w:rPr>
          <w:rFonts w:ascii="Times New Roman" w:hAnsi="Times New Roman" w:cs="Times New Roman"/>
        </w:rPr>
        <w:t>, et Euroopa Komisjon peab seadma prioriteediks</w:t>
      </w:r>
      <w:r w:rsidRPr="0015602F">
        <w:rPr>
          <w:rFonts w:ascii="Times New Roman" w:hAnsi="Times New Roman" w:cs="Times New Roman"/>
          <w:b/>
          <w:bCs/>
        </w:rPr>
        <w:t xml:space="preserve"> </w:t>
      </w:r>
      <w:r w:rsidRPr="0015602F">
        <w:rPr>
          <w:rFonts w:ascii="Times New Roman" w:hAnsi="Times New Roman" w:cs="Times New Roman"/>
        </w:rPr>
        <w:t>andmete säilitamise regulatsiooni loomise, mis on liikmesriikide vaatest igati loogiline ja väga oluline samm. Täiendavalt rõhutati ka kommunikatsiooniplaani olulisust – teemat, mida oli käsitletud juba alates viimasest HLG kohtumisest</w:t>
      </w:r>
      <w:r>
        <w:rPr>
          <w:rFonts w:ascii="Times New Roman" w:hAnsi="Times New Roman" w:cs="Times New Roman"/>
        </w:rPr>
        <w:t xml:space="preserve">, eesmärgiga aidata liikmesriikidel sõnumeid koordineerida. </w:t>
      </w:r>
      <w:r w:rsidRPr="0015602F">
        <w:rPr>
          <w:rFonts w:ascii="Times New Roman" w:hAnsi="Times New Roman" w:cs="Times New Roman"/>
        </w:rPr>
        <w:t>COSI kiitis heaks</w:t>
      </w:r>
      <w:r>
        <w:rPr>
          <w:rFonts w:ascii="Times New Roman" w:hAnsi="Times New Roman" w:cs="Times New Roman"/>
        </w:rPr>
        <w:t xml:space="preserve"> EL Nõukogu eesistuja Poola esitatud </w:t>
      </w:r>
      <w:r w:rsidRPr="0015602F">
        <w:rPr>
          <w:rFonts w:ascii="Times New Roman" w:hAnsi="Times New Roman" w:cs="Times New Roman"/>
        </w:rPr>
        <w:t xml:space="preserve"> lühiajalised meetme</w:t>
      </w:r>
      <w:r>
        <w:rPr>
          <w:rFonts w:ascii="Times New Roman" w:hAnsi="Times New Roman" w:cs="Times New Roman"/>
        </w:rPr>
        <w:t>id, mille osas nüüd soovitakse saada JSK nõukogu arvamust.</w:t>
      </w:r>
      <w:r w:rsidR="00C677D8">
        <w:rPr>
          <w:rFonts w:ascii="Times New Roman" w:hAnsi="Times New Roman" w:cs="Times New Roman"/>
        </w:rPr>
        <w:t xml:space="preserve"> 12. – 13. juunil 2025 toimunud EL justiits- ja siseküsimuste </w:t>
      </w:r>
      <w:r w:rsidR="00C677D8" w:rsidRPr="0015602F">
        <w:rPr>
          <w:rFonts w:ascii="Times New Roman" w:hAnsi="Times New Roman" w:cs="Times New Roman"/>
        </w:rPr>
        <w:t>nõukogu</w:t>
      </w:r>
      <w:r w:rsidR="00C677D8">
        <w:rPr>
          <w:rFonts w:ascii="Times New Roman" w:hAnsi="Times New Roman" w:cs="Times New Roman"/>
        </w:rPr>
        <w:t xml:space="preserve"> istungil rõhutasid EL liikmesriikide siseministrid üle vajadust teekaardi ning EL-i tasandi õigusliku algatuse järgi.</w:t>
      </w:r>
    </w:p>
    <w:p w14:paraId="47C94445" w14:textId="77777777" w:rsidR="00DF276E" w:rsidRDefault="00DF276E" w:rsidP="00820C6B">
      <w:pPr>
        <w:spacing w:after="0" w:line="276" w:lineRule="auto"/>
        <w:jc w:val="both"/>
        <w:rPr>
          <w:rFonts w:ascii="Times New Roman" w:hAnsi="Times New Roman" w:cs="Times New Roman"/>
        </w:rPr>
      </w:pPr>
    </w:p>
    <w:p w14:paraId="15693946" w14:textId="7CAC4477" w:rsidR="00DF276E" w:rsidRPr="0015602F" w:rsidRDefault="00DF276E" w:rsidP="00DE2CDD">
      <w:pPr>
        <w:spacing w:after="0" w:line="276" w:lineRule="auto"/>
        <w:jc w:val="both"/>
        <w:rPr>
          <w:rFonts w:ascii="Times New Roman" w:hAnsi="Times New Roman" w:cs="Times New Roman"/>
        </w:rPr>
      </w:pPr>
      <w:r>
        <w:rPr>
          <w:rFonts w:ascii="Times New Roman" w:hAnsi="Times New Roman" w:cs="Times New Roman"/>
        </w:rPr>
        <w:t xml:space="preserve">Teema ning õiguslikust ummikseisust väljumise olulisust on rõhutanud ka Euroopa Komisjon. Vajadust tõhusate meetmete järele on rõhutatud </w:t>
      </w:r>
      <w:hyperlink r:id="rId19" w:history="1">
        <w:r w:rsidRPr="00DF276E">
          <w:rPr>
            <w:rStyle w:val="Hperlink"/>
            <w:rFonts w:ascii="Times New Roman" w:hAnsi="Times New Roman" w:cs="Times New Roman"/>
          </w:rPr>
          <w:t>Euroopa Komisjoni uue koosseisu poliitilistes suunistes 2024-2029</w:t>
        </w:r>
      </w:hyperlink>
      <w:r>
        <w:rPr>
          <w:rFonts w:ascii="Times New Roman" w:hAnsi="Times New Roman" w:cs="Times New Roman"/>
        </w:rPr>
        <w:t xml:space="preserve"> ning ka 2024. aastal ametisse astunud siseküsimuste voliniku </w:t>
      </w:r>
      <w:hyperlink r:id="rId20" w:history="1">
        <w:r w:rsidRPr="00DF276E">
          <w:rPr>
            <w:rStyle w:val="Hperlink"/>
            <w:rFonts w:ascii="Times New Roman" w:hAnsi="Times New Roman" w:cs="Times New Roman"/>
          </w:rPr>
          <w:t xml:space="preserve">Magnus </w:t>
        </w:r>
        <w:proofErr w:type="spellStart"/>
        <w:r w:rsidRPr="00DF276E">
          <w:rPr>
            <w:rStyle w:val="Hperlink"/>
            <w:rFonts w:ascii="Times New Roman" w:hAnsi="Times New Roman" w:cs="Times New Roman"/>
          </w:rPr>
          <w:t>Brunneri</w:t>
        </w:r>
        <w:proofErr w:type="spellEnd"/>
        <w:r w:rsidRPr="00DF276E">
          <w:rPr>
            <w:rStyle w:val="Hperlink"/>
            <w:rFonts w:ascii="Times New Roman" w:hAnsi="Times New Roman" w:cs="Times New Roman"/>
          </w:rPr>
          <w:t xml:space="preserve"> ametiaja missioonikirjas</w:t>
        </w:r>
      </w:hyperlink>
      <w:r>
        <w:rPr>
          <w:rFonts w:ascii="Times New Roman" w:hAnsi="Times New Roman" w:cs="Times New Roman"/>
        </w:rPr>
        <w:t>.</w:t>
      </w:r>
      <w:r w:rsidR="00DE2CDD">
        <w:rPr>
          <w:rFonts w:ascii="Times New Roman" w:hAnsi="Times New Roman" w:cs="Times New Roman"/>
        </w:rPr>
        <w:t xml:space="preserve"> Samuti võttis Euroopa Komisjon endale kohustuse </w:t>
      </w:r>
      <w:hyperlink r:id="rId21" w:history="1">
        <w:r w:rsidR="00DE2CDD" w:rsidRPr="00DE2CDD">
          <w:rPr>
            <w:rStyle w:val="Hperlink"/>
            <w:rFonts w:ascii="Times New Roman" w:hAnsi="Times New Roman" w:cs="Times New Roman"/>
          </w:rPr>
          <w:t>Euroopa sisejulgeoleku strateegia teatises</w:t>
        </w:r>
      </w:hyperlink>
      <w:r w:rsidR="00DE2CDD">
        <w:rPr>
          <w:rFonts w:ascii="Times New Roman" w:hAnsi="Times New Roman" w:cs="Times New Roman"/>
        </w:rPr>
        <w:t xml:space="preserve"> </w:t>
      </w:r>
      <w:r w:rsidR="00DE2CDD" w:rsidRPr="00DE2CDD">
        <w:rPr>
          <w:rFonts w:ascii="Times New Roman" w:hAnsi="Times New Roman" w:cs="Times New Roman"/>
        </w:rPr>
        <w:t>esitada 2025. aastal</w:t>
      </w:r>
      <w:r w:rsidR="00DE2CDD">
        <w:rPr>
          <w:rFonts w:ascii="Times New Roman" w:hAnsi="Times New Roman" w:cs="Times New Roman"/>
        </w:rPr>
        <w:t xml:space="preserve"> </w:t>
      </w:r>
      <w:r w:rsidR="00DE2CDD" w:rsidRPr="00DE2CDD">
        <w:rPr>
          <w:rFonts w:ascii="Times New Roman" w:hAnsi="Times New Roman" w:cs="Times New Roman"/>
        </w:rPr>
        <w:t>tegevuskava, milles nähakse ette edasised sammud õiguskaitse eesmärgil andmetele seadusliku ja</w:t>
      </w:r>
      <w:r w:rsidR="00DE2CDD">
        <w:rPr>
          <w:rFonts w:ascii="Times New Roman" w:hAnsi="Times New Roman" w:cs="Times New Roman"/>
        </w:rPr>
        <w:t xml:space="preserve"> </w:t>
      </w:r>
      <w:r w:rsidR="00DE2CDD" w:rsidRPr="00DE2CDD">
        <w:rPr>
          <w:rFonts w:ascii="Times New Roman" w:hAnsi="Times New Roman" w:cs="Times New Roman"/>
        </w:rPr>
        <w:t>tegeliku juurdepääsu tagamiseks, ja seada prioriteediks hinnangu andmise andmete säilitamise normide</w:t>
      </w:r>
      <w:r w:rsidR="00DE2CDD">
        <w:rPr>
          <w:rFonts w:ascii="Times New Roman" w:hAnsi="Times New Roman" w:cs="Times New Roman"/>
        </w:rPr>
        <w:t xml:space="preserve"> </w:t>
      </w:r>
      <w:r w:rsidR="00DE2CDD" w:rsidRPr="00DE2CDD">
        <w:rPr>
          <w:rFonts w:ascii="Times New Roman" w:hAnsi="Times New Roman" w:cs="Times New Roman"/>
        </w:rPr>
        <w:t>mõjule EL</w:t>
      </w:r>
      <w:r w:rsidR="00DE2CDD">
        <w:rPr>
          <w:rFonts w:ascii="Times New Roman" w:hAnsi="Times New Roman" w:cs="Times New Roman"/>
        </w:rPr>
        <w:t>-</w:t>
      </w:r>
      <w:r w:rsidR="00DE2CDD" w:rsidRPr="00DE2CDD">
        <w:rPr>
          <w:rFonts w:ascii="Times New Roman" w:hAnsi="Times New Roman" w:cs="Times New Roman"/>
        </w:rPr>
        <w:t>i tasandil.</w:t>
      </w:r>
    </w:p>
    <w:p w14:paraId="38D98504" w14:textId="00AED6C5" w:rsidR="00DE3428" w:rsidRDefault="00DE3428" w:rsidP="00967A30">
      <w:pPr>
        <w:spacing w:after="0"/>
        <w:jc w:val="both"/>
        <w:rPr>
          <w:rFonts w:ascii="Times New Roman" w:hAnsi="Times New Roman" w:cs="Times New Roman"/>
        </w:rPr>
      </w:pPr>
    </w:p>
    <w:p w14:paraId="647CF21B" w14:textId="0FC70E74" w:rsidR="00DE3428" w:rsidRPr="00366319" w:rsidRDefault="00DE3428" w:rsidP="00967A30">
      <w:pPr>
        <w:spacing w:after="0"/>
        <w:jc w:val="both"/>
        <w:rPr>
          <w:rFonts w:ascii="Times New Roman" w:hAnsi="Times New Roman" w:cs="Times New Roman"/>
          <w:b/>
          <w:bCs/>
        </w:rPr>
      </w:pPr>
      <w:r w:rsidRPr="00C93A64">
        <w:rPr>
          <w:rFonts w:ascii="Times New Roman" w:hAnsi="Times New Roman" w:cs="Times New Roman"/>
          <w:b/>
          <w:bCs/>
        </w:rPr>
        <w:t xml:space="preserve">3. </w:t>
      </w:r>
      <w:r w:rsidR="00366319">
        <w:rPr>
          <w:rFonts w:ascii="Times New Roman" w:hAnsi="Times New Roman" w:cs="Times New Roman"/>
          <w:b/>
          <w:bCs/>
        </w:rPr>
        <w:t>EESTI SEISUKOHAD JA PÕHJENDUSED AVALIKU KONSULTATSIOONI VASTUSTELE</w:t>
      </w:r>
    </w:p>
    <w:p w14:paraId="342E0B73" w14:textId="77777777" w:rsidR="00EB0156" w:rsidRDefault="00EB0156" w:rsidP="00C93A64">
      <w:pPr>
        <w:spacing w:after="0" w:line="276" w:lineRule="auto"/>
        <w:jc w:val="both"/>
        <w:rPr>
          <w:rFonts w:ascii="Times New Roman" w:hAnsi="Times New Roman" w:cs="Times New Roman"/>
        </w:rPr>
      </w:pPr>
    </w:p>
    <w:p w14:paraId="7450915E" w14:textId="77777777" w:rsidR="00EB0156" w:rsidRPr="00582D8B" w:rsidRDefault="00EB0156" w:rsidP="00EB0156">
      <w:pPr>
        <w:spacing w:after="0"/>
        <w:jc w:val="both"/>
        <w:rPr>
          <w:rFonts w:ascii="Times New Roman" w:hAnsi="Times New Roman" w:cs="Times New Roman"/>
        </w:rPr>
      </w:pPr>
      <w:r w:rsidRPr="00582D8B">
        <w:rPr>
          <w:rFonts w:ascii="Times New Roman" w:hAnsi="Times New Roman" w:cs="Times New Roman"/>
        </w:rPr>
        <w:t>Avaliku konsultatsiooni tagasiside on esitatud Lisas 1.</w:t>
      </w:r>
    </w:p>
    <w:p w14:paraId="17F71D41" w14:textId="77777777" w:rsidR="00EB0156" w:rsidRPr="00582D8B" w:rsidRDefault="00EB0156" w:rsidP="00C93A64">
      <w:pPr>
        <w:spacing w:after="0" w:line="276" w:lineRule="auto"/>
        <w:jc w:val="both"/>
        <w:rPr>
          <w:rFonts w:ascii="Times New Roman" w:hAnsi="Times New Roman" w:cs="Times New Roman"/>
        </w:rPr>
      </w:pPr>
    </w:p>
    <w:p w14:paraId="1471738E" w14:textId="53E7F653" w:rsidR="00FC0809" w:rsidRPr="00582D8B" w:rsidRDefault="00FC0809" w:rsidP="00FC0809">
      <w:pPr>
        <w:spacing w:after="0" w:line="276" w:lineRule="auto"/>
        <w:jc w:val="both"/>
        <w:rPr>
          <w:rFonts w:ascii="Times New Roman" w:hAnsi="Times New Roman" w:cs="Times New Roman"/>
        </w:rPr>
      </w:pPr>
      <w:r w:rsidRPr="00582D8B">
        <w:rPr>
          <w:rFonts w:ascii="Times New Roman" w:hAnsi="Times New Roman" w:cs="Times New Roman"/>
        </w:rPr>
        <w:t>Sideandmed on uurimisasutuste jaoks väga olulised, kuna need võimaldavad koguda ja analüüsida teavet inimestevahelise suhtluse kohta ilma suhtluse sisu nägemata.</w:t>
      </w:r>
      <w:r w:rsidR="001A19F5" w:rsidRPr="001A19F5">
        <w:rPr>
          <w:rFonts w:ascii="Times New Roman" w:hAnsi="Times New Roman" w:cs="Times New Roman"/>
        </w:rPr>
        <w:t xml:space="preserve">. </w:t>
      </w:r>
      <w:r w:rsidRPr="00582D8B">
        <w:rPr>
          <w:rFonts w:ascii="Times New Roman" w:hAnsi="Times New Roman" w:cs="Times New Roman"/>
        </w:rPr>
        <w:t xml:space="preserve">Sideandmete abil saab tuvastada, kellega, millal ja kui tihti keegi suhtleb ning kus isik suhtluse hetkel viibis. Selline teave on oluline nii kuritegude kui ka ohtude ennetamiseks, sest see aitab avastada mustreid ja seoseid isikute vahel. </w:t>
      </w:r>
      <w:r w:rsidR="001A19F5">
        <w:rPr>
          <w:rFonts w:ascii="Times New Roman" w:hAnsi="Times New Roman" w:cs="Times New Roman"/>
        </w:rPr>
        <w:t>Oluline on meeles pidada, et u</w:t>
      </w:r>
      <w:r w:rsidR="001A19F5" w:rsidRPr="001A19F5">
        <w:rPr>
          <w:rFonts w:ascii="Times New Roman" w:hAnsi="Times New Roman" w:cs="Times New Roman"/>
        </w:rPr>
        <w:t>urimisasutustel ei ole üldist ega piiram</w:t>
      </w:r>
      <w:r w:rsidR="001A19F5">
        <w:rPr>
          <w:rFonts w:ascii="Times New Roman" w:hAnsi="Times New Roman" w:cs="Times New Roman"/>
        </w:rPr>
        <w:t>atut</w:t>
      </w:r>
      <w:r w:rsidR="001A19F5" w:rsidRPr="001A19F5">
        <w:rPr>
          <w:rFonts w:ascii="Times New Roman" w:hAnsi="Times New Roman" w:cs="Times New Roman"/>
        </w:rPr>
        <w:t xml:space="preserve"> ligipääsu sideandmetele – nende töötlemine on lubatud üksnes selgelt piiritletud ja </w:t>
      </w:r>
      <w:r w:rsidR="001A19F5">
        <w:rPr>
          <w:rFonts w:ascii="Times New Roman" w:hAnsi="Times New Roman" w:cs="Times New Roman"/>
        </w:rPr>
        <w:t>kindlaksmääratud</w:t>
      </w:r>
      <w:r w:rsidR="001A19F5" w:rsidRPr="001A19F5">
        <w:rPr>
          <w:rFonts w:ascii="Times New Roman" w:hAnsi="Times New Roman" w:cs="Times New Roman"/>
        </w:rPr>
        <w:t xml:space="preserve"> juhtudel</w:t>
      </w:r>
    </w:p>
    <w:p w14:paraId="181FAFA6" w14:textId="77777777" w:rsidR="00FC0809" w:rsidRPr="00582D8B" w:rsidRDefault="00FC0809" w:rsidP="00FC0809">
      <w:pPr>
        <w:spacing w:after="0" w:line="276" w:lineRule="auto"/>
        <w:jc w:val="both"/>
        <w:rPr>
          <w:rFonts w:ascii="Times New Roman" w:hAnsi="Times New Roman" w:cs="Times New Roman"/>
        </w:rPr>
      </w:pPr>
    </w:p>
    <w:p w14:paraId="5F6ADBB0" w14:textId="295E3562" w:rsidR="00FC0809" w:rsidRPr="00582D8B" w:rsidRDefault="00FC0809" w:rsidP="00FC0809">
      <w:pPr>
        <w:spacing w:after="0" w:line="276" w:lineRule="auto"/>
        <w:jc w:val="both"/>
        <w:rPr>
          <w:rFonts w:ascii="Times New Roman" w:hAnsi="Times New Roman" w:cs="Times New Roman"/>
        </w:rPr>
      </w:pPr>
      <w:r w:rsidRPr="00582D8B">
        <w:rPr>
          <w:rFonts w:ascii="Times New Roman" w:hAnsi="Times New Roman" w:cs="Times New Roman"/>
        </w:rPr>
        <w:lastRenderedPageBreak/>
        <w:t>Kuritegude uurimisel on sideandmed väga väärtuslik ressurss, võimaldades luua ajajoont isiku tegevustest ning tuvastada kontakte ja liikumisi, mis võivad aidata juhtunu mõistmisel ja vastutavate isikute kindlakstegemisel. Lisaks võimaldavad sideandmed kaardistada isikute kontaktivõrgustikke, tuvastada suhtluse sõlmpunkte ning saada ülevaade sellest, kas suhtlusviisid ja -mustrid viitavad näiteks kriminaalsele grupeeringule või terroristlikule võrgustikule.</w:t>
      </w:r>
    </w:p>
    <w:p w14:paraId="7182DAA7" w14:textId="77777777" w:rsidR="00FC0809" w:rsidRPr="00582D8B" w:rsidRDefault="00FC0809" w:rsidP="00FC0809">
      <w:pPr>
        <w:spacing w:after="0" w:line="276" w:lineRule="auto"/>
        <w:jc w:val="both"/>
        <w:rPr>
          <w:rFonts w:ascii="Times New Roman" w:hAnsi="Times New Roman" w:cs="Times New Roman"/>
        </w:rPr>
      </w:pPr>
    </w:p>
    <w:p w14:paraId="217AC542" w14:textId="60848F38" w:rsidR="00FC0809" w:rsidRPr="00582D8B" w:rsidRDefault="00FC0809" w:rsidP="00FC0809">
      <w:pPr>
        <w:spacing w:after="0" w:line="276" w:lineRule="auto"/>
        <w:jc w:val="both"/>
        <w:rPr>
          <w:rFonts w:ascii="Times New Roman" w:hAnsi="Times New Roman" w:cs="Times New Roman"/>
        </w:rPr>
      </w:pPr>
      <w:r w:rsidRPr="00582D8B">
        <w:rPr>
          <w:rFonts w:ascii="Times New Roman" w:hAnsi="Times New Roman" w:cs="Times New Roman"/>
        </w:rPr>
        <w:t>Kiiretes olukordades, nagu kadunud isikute otsingud või terrorismioht, võimaldab sideandmete kasutamine kiiresti tuvastada viimased kontaktid ja teadaolevad asukohad, mis võivad olla otsustava tähtsusega operatiivsete otsuste tegemisel. Sideandmed on olulised ka kohtumenetluses, pakkudes objektiivseid tõendeid.</w:t>
      </w:r>
    </w:p>
    <w:p w14:paraId="7D1E99EE" w14:textId="77777777" w:rsidR="00FC0809" w:rsidRPr="00582D8B" w:rsidRDefault="00FC0809" w:rsidP="00FC0809">
      <w:pPr>
        <w:spacing w:after="0" w:line="276" w:lineRule="auto"/>
        <w:jc w:val="both"/>
        <w:rPr>
          <w:rFonts w:ascii="Times New Roman" w:hAnsi="Times New Roman" w:cs="Times New Roman"/>
        </w:rPr>
      </w:pPr>
    </w:p>
    <w:p w14:paraId="7DEE320A" w14:textId="77777777" w:rsidR="00FC0809" w:rsidRPr="00582D8B" w:rsidRDefault="00FC0809" w:rsidP="00FC0809">
      <w:pPr>
        <w:spacing w:after="0" w:line="276" w:lineRule="auto"/>
        <w:jc w:val="both"/>
        <w:rPr>
          <w:rFonts w:ascii="Times New Roman" w:hAnsi="Times New Roman" w:cs="Times New Roman"/>
        </w:rPr>
      </w:pPr>
      <w:r w:rsidRPr="00582D8B">
        <w:rPr>
          <w:rFonts w:ascii="Times New Roman" w:hAnsi="Times New Roman" w:cs="Times New Roman"/>
        </w:rPr>
        <w:t>Kuigi sideandmed ei näita, mida täpselt räägiti, annavad need usaldusväärse ülevaate suhtluse ajalisest ja ruumilisest struktuurist, mis muudab need õiguskaitse ja julgeolekuasutuste jaoks asendamatuks tööriistaks. Nende kasutamine peab seejuures toimuma kooskõlas seadustega ning tagama inimeste põhiõiguste kaitse ja proportsionaalsuse põhimõtte järgimise.</w:t>
      </w:r>
    </w:p>
    <w:p w14:paraId="104E54DE" w14:textId="77777777" w:rsidR="00FC0809" w:rsidRPr="00582D8B" w:rsidRDefault="00FC0809" w:rsidP="00C93A64">
      <w:pPr>
        <w:spacing w:after="0" w:line="276" w:lineRule="auto"/>
        <w:jc w:val="both"/>
        <w:rPr>
          <w:rFonts w:ascii="Times New Roman" w:hAnsi="Times New Roman" w:cs="Times New Roman"/>
        </w:rPr>
      </w:pPr>
    </w:p>
    <w:p w14:paraId="0AB23131" w14:textId="3816C61D" w:rsidR="001D7C1B" w:rsidRPr="00582D8B" w:rsidRDefault="001D7C1B" w:rsidP="00C93A64">
      <w:pPr>
        <w:spacing w:after="0" w:line="276" w:lineRule="auto"/>
        <w:jc w:val="both"/>
        <w:rPr>
          <w:rFonts w:ascii="Times New Roman" w:hAnsi="Times New Roman" w:cs="Times New Roman"/>
        </w:rPr>
      </w:pPr>
      <w:r w:rsidRPr="00582D8B">
        <w:rPr>
          <w:rFonts w:ascii="Times New Roman" w:hAnsi="Times New Roman" w:cs="Times New Roman"/>
        </w:rPr>
        <w:t>Eesti vaatest on oluline säilitada nii isiku õigust privaatsusele ja eraelu puutumatusele (k.a. tagada vajalik andmekaitse)</w:t>
      </w:r>
      <w:r w:rsidR="006576F2" w:rsidRPr="00582D8B">
        <w:rPr>
          <w:rFonts w:ascii="Times New Roman" w:hAnsi="Times New Roman" w:cs="Times New Roman"/>
        </w:rPr>
        <w:t>, kuid samas tagada igaühe õigus elule ning tervise ja omandi kaitsele. Mainitud põhiõiguste realiseerimine on võimalik vaid siis, kui julgeoleku- ja õiguskaitseasutused saavad teha oma tööd parimal võimalikul viisil ning kasutades selleks kogu vajalikku tehnoloogilist võimekust. Arvestades, et kuritegevus on suures mahus kolinud internetti ja / või kurjategijad kasutavad oma tegevuses digitaalseid lahendusi, on iga isiku põhiõiguste kaitse tagamiseks samuti vajalik kasutada digitaalseid ja tehnoloogilisi vahendeid, millest üheks on sideandmed. Selleks, et viia läbi tõhus kuriteo uurimine, on vajalik mitte ainult juurdepääs sideandmetele, vaid nad peavad olema selleks eelnevalt säilitatud teenusepakkuja poolt. Vastaval juhul on julgeoleku – ja õiguskaitseasutuste töö tugevalt halvatud, kuna puuduvad hädavajalikud andmed kurjategijate, kahtlusaluste või ohvrite tuvastamiseks, kohaloleku määramiseks ning kuriteo avastamiseks ja uurimiseks.</w:t>
      </w:r>
    </w:p>
    <w:p w14:paraId="6DD7B04F" w14:textId="77777777" w:rsidR="001D7C1B" w:rsidRPr="00582D8B" w:rsidRDefault="001D7C1B" w:rsidP="00C93A64">
      <w:pPr>
        <w:spacing w:after="0" w:line="276" w:lineRule="auto"/>
        <w:jc w:val="both"/>
        <w:rPr>
          <w:rFonts w:ascii="Times New Roman" w:hAnsi="Times New Roman" w:cs="Times New Roman"/>
        </w:rPr>
      </w:pPr>
    </w:p>
    <w:p w14:paraId="6C073AD0" w14:textId="3CA2CBCF" w:rsidR="00546101" w:rsidRPr="00582D8B" w:rsidRDefault="00546101" w:rsidP="00C93A64">
      <w:pPr>
        <w:spacing w:after="0" w:line="276" w:lineRule="auto"/>
        <w:jc w:val="both"/>
        <w:rPr>
          <w:rFonts w:ascii="Times New Roman" w:hAnsi="Times New Roman" w:cs="Times New Roman"/>
        </w:rPr>
      </w:pPr>
      <w:r w:rsidRPr="00582D8B">
        <w:rPr>
          <w:rFonts w:ascii="Times New Roman" w:hAnsi="Times New Roman" w:cs="Times New Roman"/>
        </w:rPr>
        <w:t xml:space="preserve">Eesti on olnud läbivalt kaasatud HLG töösse Siseministeeriumi ekspertide tasemel, mille tõttu esitatud 42 soovitust on kooskõlast Eesti vaadete ning prioriteetidega. Tulenevalt HLG lõppraportist esitatud soovitustest ning EL justiits- ja siseküsimuste nõukogu järeldustest, on Eesit läbivalt toetanud eri formaatides EL-i tasandi õigusraamistiku loomist, mis tõukuks HLG soovitustest.  </w:t>
      </w:r>
    </w:p>
    <w:p w14:paraId="724DA59B" w14:textId="77777777" w:rsidR="00546101" w:rsidRPr="00582D8B" w:rsidRDefault="00546101" w:rsidP="00C93A64">
      <w:pPr>
        <w:spacing w:after="0" w:line="276" w:lineRule="auto"/>
        <w:jc w:val="both"/>
        <w:rPr>
          <w:rFonts w:ascii="Times New Roman" w:hAnsi="Times New Roman" w:cs="Times New Roman"/>
        </w:rPr>
      </w:pPr>
    </w:p>
    <w:p w14:paraId="618DD3BC" w14:textId="7FAAF20D" w:rsidR="00C93A64" w:rsidRPr="00582D8B" w:rsidRDefault="00C93A64" w:rsidP="00C93A64">
      <w:pPr>
        <w:spacing w:after="0" w:line="276" w:lineRule="auto"/>
        <w:jc w:val="both"/>
        <w:rPr>
          <w:rFonts w:ascii="Times New Roman" w:hAnsi="Times New Roman" w:cs="Times New Roman"/>
        </w:rPr>
      </w:pPr>
      <w:r w:rsidRPr="00582D8B">
        <w:rPr>
          <w:rFonts w:ascii="Times New Roman" w:hAnsi="Times New Roman" w:cs="Times New Roman"/>
        </w:rPr>
        <w:t>Eesti</w:t>
      </w:r>
      <w:r w:rsidRPr="00582D8B">
        <w:rPr>
          <w:rFonts w:ascii="Times New Roman" w:hAnsi="Times New Roman" w:cs="Times New Roman"/>
          <w:b/>
          <w:bCs/>
        </w:rPr>
        <w:t xml:space="preserve"> </w:t>
      </w:r>
      <w:r w:rsidRPr="00582D8B">
        <w:rPr>
          <w:rFonts w:ascii="Times New Roman" w:hAnsi="Times New Roman" w:cs="Times New Roman"/>
        </w:rPr>
        <w:t>peab vajalikuks luua EL-i taseme regulatsioon, mis sätestaks ühtsed reeglid sideandmete säilitamisele ja juurdepääsule. Puuduliku õigusliku aluse ja arvukate Euroopa Kohtu otsuste tulemusena on õiguskaitseasutused olukorras, kus on palju ebamäärasusi ja takistusi, eriti õiguskaitseasutuste piiriülesele koostööle kuritegevuse ennetamisel ja uurimisel.</w:t>
      </w:r>
      <w:r w:rsidR="001D7C1B" w:rsidRPr="00582D8B">
        <w:rPr>
          <w:rFonts w:ascii="Times New Roman" w:hAnsi="Times New Roman" w:cs="Times New Roman"/>
        </w:rPr>
        <w:t xml:space="preserve"> Sideandmete säilitamise küsimuse reguleerimatus on toonud kaasa olukorra, kus valdkond tugineb üle 10 aasta üksnes kohtuotsustele ehk Euroopa Kohus pidi sisuliselt täitma seadusandja rolli. Seeläbi on Euroopa Komisjoni ja EL Nõukogu aktiivne tegevus, nt õigusliku algatuse vormis, vajalik </w:t>
      </w:r>
      <w:r w:rsidR="001D7C1B" w:rsidRPr="00582D8B">
        <w:rPr>
          <w:rFonts w:ascii="Times New Roman" w:hAnsi="Times New Roman" w:cs="Times New Roman"/>
        </w:rPr>
        <w:lastRenderedPageBreak/>
        <w:t>taastamaks institutsioonidevahelist tasakaalu ning loomaks õigusselgust ja ühtsust kasutatavatesse praktikatesse.</w:t>
      </w:r>
    </w:p>
    <w:p w14:paraId="49A2F55E" w14:textId="77777777" w:rsidR="00C27FF4" w:rsidRPr="00582D8B" w:rsidRDefault="00C27FF4" w:rsidP="00C93A64">
      <w:pPr>
        <w:spacing w:after="0" w:line="276" w:lineRule="auto"/>
        <w:jc w:val="both"/>
        <w:rPr>
          <w:rFonts w:ascii="Times New Roman" w:hAnsi="Times New Roman" w:cs="Times New Roman"/>
        </w:rPr>
      </w:pPr>
    </w:p>
    <w:p w14:paraId="4D3AC424" w14:textId="5C14E83D" w:rsidR="00C93A64" w:rsidRPr="0015602F" w:rsidRDefault="00C27FF4" w:rsidP="00C93A64">
      <w:pPr>
        <w:spacing w:after="0" w:line="276" w:lineRule="auto"/>
        <w:jc w:val="both"/>
        <w:rPr>
          <w:rFonts w:ascii="Times New Roman" w:hAnsi="Times New Roman" w:cs="Times New Roman"/>
        </w:rPr>
      </w:pPr>
      <w:r w:rsidRPr="00582D8B">
        <w:rPr>
          <w:rFonts w:ascii="Times New Roman" w:hAnsi="Times New Roman" w:cs="Times New Roman"/>
        </w:rPr>
        <w:t>Eesti on toetanud</w:t>
      </w:r>
      <w:r w:rsidR="00C93A64" w:rsidRPr="00582D8B">
        <w:rPr>
          <w:rFonts w:ascii="Times New Roman" w:hAnsi="Times New Roman" w:cs="Times New Roman"/>
        </w:rPr>
        <w:t xml:space="preserve"> lühiajalisi meetmeid teabevahetuse ja digiekspertiisi arendamisel, kuid oleme jätkuvalt seisukohal, et tõhus ja seaduslik juurdepääs andmetele eeldab tugevat EL-i tasandi andmete säilitamise õigusraamistikku. </w:t>
      </w:r>
    </w:p>
    <w:p w14:paraId="299356EF" w14:textId="77777777" w:rsidR="00DE3428" w:rsidRDefault="00DE3428" w:rsidP="00967A30">
      <w:pPr>
        <w:spacing w:after="0"/>
        <w:jc w:val="both"/>
        <w:rPr>
          <w:rFonts w:ascii="Times New Roman" w:hAnsi="Times New Roman" w:cs="Times New Roman"/>
        </w:rPr>
      </w:pPr>
    </w:p>
    <w:p w14:paraId="4E47AE5E" w14:textId="77777777" w:rsidR="001B3043" w:rsidRDefault="001B3043" w:rsidP="001B3043">
      <w:pPr>
        <w:spacing w:after="0"/>
        <w:jc w:val="both"/>
        <w:rPr>
          <w:rFonts w:ascii="Times New Roman" w:hAnsi="Times New Roman" w:cs="Times New Roman"/>
        </w:rPr>
      </w:pPr>
      <w:r>
        <w:rPr>
          <w:rFonts w:ascii="Times New Roman" w:hAnsi="Times New Roman" w:cs="Times New Roman"/>
        </w:rPr>
        <w:t>Siseministeerium esitab Euroopa Komisjonile sisendi tuginedes järgmistele Eesti seisukohtadele:</w:t>
      </w:r>
    </w:p>
    <w:p w14:paraId="05C07EF8" w14:textId="77777777" w:rsidR="006F00EF" w:rsidRPr="006F00EF" w:rsidRDefault="001B3043" w:rsidP="006F00EF">
      <w:pPr>
        <w:pStyle w:val="Loendilik"/>
        <w:numPr>
          <w:ilvl w:val="0"/>
          <w:numId w:val="2"/>
        </w:numPr>
        <w:shd w:val="clear" w:color="auto" w:fill="FFFFFF" w:themeFill="background1"/>
        <w:spacing w:line="279" w:lineRule="auto"/>
        <w:jc w:val="both"/>
        <w:rPr>
          <w:rFonts w:ascii="Times New Roman" w:eastAsia="Times New Roman" w:hAnsi="Times New Roman" w:cs="Times New Roman"/>
          <w:i/>
          <w:iCs/>
          <w:color w:val="000000" w:themeColor="text1"/>
        </w:rPr>
      </w:pPr>
      <w:r w:rsidRPr="006F00EF">
        <w:rPr>
          <w:rFonts w:ascii="Times New Roman" w:eastAsia="Times New Roman" w:hAnsi="Times New Roman" w:cs="Times New Roman"/>
          <w:i/>
          <w:iCs/>
          <w:color w:val="000000" w:themeColor="text1"/>
        </w:rPr>
        <w:t>Siseturvalisuse arengukava 2020–2030 (heaks kiidetud 03.06.2021. aasta Vabariigi Valitsuse istungil)</w:t>
      </w:r>
      <w:r w:rsidR="006F00EF" w:rsidRPr="006F00EF">
        <w:rPr>
          <w:rFonts w:ascii="Times New Roman" w:eastAsia="Times New Roman" w:hAnsi="Times New Roman" w:cs="Times New Roman"/>
          <w:i/>
          <w:iCs/>
          <w:color w:val="000000" w:themeColor="text1"/>
        </w:rPr>
        <w:t>;</w:t>
      </w:r>
    </w:p>
    <w:p w14:paraId="472BD6BC" w14:textId="1F8E2FA5" w:rsidR="00DE3428" w:rsidRPr="00691ECE" w:rsidRDefault="006F00EF" w:rsidP="00691ECE">
      <w:pPr>
        <w:pStyle w:val="Loendilik"/>
        <w:numPr>
          <w:ilvl w:val="0"/>
          <w:numId w:val="2"/>
        </w:numPr>
        <w:shd w:val="clear" w:color="auto" w:fill="FFFFFF" w:themeFill="background1"/>
        <w:spacing w:line="279" w:lineRule="auto"/>
        <w:jc w:val="both"/>
        <w:rPr>
          <w:rFonts w:ascii="Times New Roman" w:eastAsia="Times New Roman" w:hAnsi="Times New Roman" w:cs="Times New Roman"/>
          <w:i/>
          <w:iCs/>
          <w:color w:val="000000" w:themeColor="text1"/>
        </w:rPr>
      </w:pPr>
      <w:r w:rsidRPr="006F00EF">
        <w:rPr>
          <w:rFonts w:ascii="Times New Roman" w:eastAsia="Times New Roman" w:hAnsi="Times New Roman" w:cs="Times New Roman"/>
          <w:i/>
          <w:iCs/>
          <w:color w:val="000000" w:themeColor="text1"/>
        </w:rPr>
        <w:t>Eesti Euroopa Liidu poliitika prioriteedid 2025-2027 (kinnitatud Vabariigi Valitsuses 19. juunil 2025. a)</w:t>
      </w:r>
      <w:r w:rsidR="00691ECE">
        <w:rPr>
          <w:rFonts w:ascii="Times New Roman" w:eastAsia="Times New Roman" w:hAnsi="Times New Roman" w:cs="Times New Roman"/>
          <w:i/>
          <w:iCs/>
          <w:color w:val="000000" w:themeColor="text1"/>
        </w:rPr>
        <w:t>.</w:t>
      </w:r>
    </w:p>
    <w:p w14:paraId="4DDCD7D7" w14:textId="77777777" w:rsidR="00222671" w:rsidRDefault="00222671" w:rsidP="00967A30">
      <w:pPr>
        <w:spacing w:after="0"/>
        <w:jc w:val="both"/>
        <w:rPr>
          <w:rFonts w:ascii="Times New Roman" w:hAnsi="Times New Roman" w:cs="Times New Roman"/>
          <w:b/>
          <w:bCs/>
        </w:rPr>
      </w:pPr>
    </w:p>
    <w:p w14:paraId="7A150F90" w14:textId="244F1A8E" w:rsidR="00DE3428" w:rsidRPr="009778FD" w:rsidRDefault="00DE3428" w:rsidP="00967A30">
      <w:pPr>
        <w:spacing w:after="0"/>
        <w:jc w:val="both"/>
        <w:rPr>
          <w:rFonts w:ascii="Times New Roman" w:hAnsi="Times New Roman" w:cs="Times New Roman"/>
          <w:b/>
          <w:bCs/>
        </w:rPr>
      </w:pPr>
      <w:r w:rsidRPr="009778FD">
        <w:rPr>
          <w:rFonts w:ascii="Times New Roman" w:hAnsi="Times New Roman" w:cs="Times New Roman"/>
          <w:b/>
          <w:bCs/>
        </w:rPr>
        <w:t>4. K</w:t>
      </w:r>
      <w:r w:rsidR="001C0926">
        <w:rPr>
          <w:rFonts w:ascii="Times New Roman" w:hAnsi="Times New Roman" w:cs="Times New Roman"/>
          <w:b/>
          <w:bCs/>
        </w:rPr>
        <w:t>AASAMINE JA KOOSKÕLASTAMINE</w:t>
      </w:r>
    </w:p>
    <w:p w14:paraId="4360D8A0" w14:textId="77777777" w:rsidR="00222671" w:rsidRDefault="00222671" w:rsidP="00967A30">
      <w:pPr>
        <w:spacing w:after="0"/>
        <w:jc w:val="both"/>
        <w:rPr>
          <w:rFonts w:ascii="Times New Roman" w:hAnsi="Times New Roman" w:cs="Times New Roman"/>
        </w:rPr>
      </w:pPr>
    </w:p>
    <w:p w14:paraId="56B6480C" w14:textId="28CB8688" w:rsidR="009778FD" w:rsidRDefault="008145E4" w:rsidP="00967A30">
      <w:pPr>
        <w:spacing w:after="0"/>
        <w:jc w:val="both"/>
        <w:rPr>
          <w:rFonts w:ascii="Times New Roman" w:hAnsi="Times New Roman" w:cs="Times New Roman"/>
        </w:rPr>
      </w:pPr>
      <w:r>
        <w:rPr>
          <w:rFonts w:ascii="Times New Roman" w:hAnsi="Times New Roman" w:cs="Times New Roman"/>
        </w:rPr>
        <w:t>A</w:t>
      </w:r>
      <w:r w:rsidR="001C0926">
        <w:rPr>
          <w:rFonts w:ascii="Times New Roman" w:hAnsi="Times New Roman" w:cs="Times New Roman"/>
        </w:rPr>
        <w:t xml:space="preserve">valiku konsultatsiooni vastuseid koostati koostöös </w:t>
      </w:r>
      <w:r>
        <w:rPr>
          <w:rFonts w:ascii="Times New Roman" w:hAnsi="Times New Roman" w:cs="Times New Roman"/>
        </w:rPr>
        <w:t>Kaitsepolitseiamet</w:t>
      </w:r>
      <w:r w:rsidR="001C0926">
        <w:rPr>
          <w:rFonts w:ascii="Times New Roman" w:hAnsi="Times New Roman" w:cs="Times New Roman"/>
        </w:rPr>
        <w:t>i</w:t>
      </w:r>
      <w:r w:rsidR="00582D8B">
        <w:rPr>
          <w:rFonts w:ascii="Times New Roman" w:hAnsi="Times New Roman" w:cs="Times New Roman"/>
        </w:rPr>
        <w:t xml:space="preserve"> ning Politsei- ja Piirivalveamet</w:t>
      </w:r>
      <w:r w:rsidR="001C0926">
        <w:rPr>
          <w:rFonts w:ascii="Times New Roman" w:hAnsi="Times New Roman" w:cs="Times New Roman"/>
        </w:rPr>
        <w:t>iga ning nende arvamus kajastub Siseministeeriumi seisukohtades. Vastuseid on kooskõlastanud märkusteta Justiits- ja Digiministeerium.</w:t>
      </w:r>
      <w:r>
        <w:rPr>
          <w:rFonts w:ascii="Times New Roman" w:hAnsi="Times New Roman" w:cs="Times New Roman"/>
        </w:rPr>
        <w:t xml:space="preserve"> </w:t>
      </w:r>
    </w:p>
    <w:p w14:paraId="0335DFC5" w14:textId="77777777" w:rsidR="008145E4" w:rsidRDefault="008145E4" w:rsidP="00967A30">
      <w:pPr>
        <w:spacing w:after="0"/>
        <w:jc w:val="both"/>
        <w:rPr>
          <w:rFonts w:ascii="Times New Roman" w:hAnsi="Times New Roman" w:cs="Times New Roman"/>
        </w:rPr>
      </w:pPr>
    </w:p>
    <w:p w14:paraId="671862B5" w14:textId="497EB319" w:rsidR="008145E4" w:rsidRPr="00DE3428" w:rsidRDefault="008145E4" w:rsidP="00967A30">
      <w:pPr>
        <w:spacing w:after="0"/>
        <w:jc w:val="both"/>
        <w:rPr>
          <w:rFonts w:ascii="Times New Roman" w:hAnsi="Times New Roman" w:cs="Times New Roman"/>
        </w:rPr>
      </w:pPr>
      <w:r>
        <w:rPr>
          <w:rFonts w:ascii="Times New Roman" w:hAnsi="Times New Roman" w:cs="Times New Roman"/>
        </w:rPr>
        <w:t>Ministeeriumid on seisukohad kooskõlastanud Riigikantselei EL koordinatsioonikogus.</w:t>
      </w:r>
    </w:p>
    <w:sectPr w:rsidR="008145E4" w:rsidRPr="00DE342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9683" w14:textId="77777777" w:rsidR="003067F7" w:rsidRDefault="003067F7" w:rsidP="00DE3428">
      <w:pPr>
        <w:spacing w:after="0" w:line="240" w:lineRule="auto"/>
      </w:pPr>
      <w:r>
        <w:separator/>
      </w:r>
    </w:p>
  </w:endnote>
  <w:endnote w:type="continuationSeparator" w:id="0">
    <w:p w14:paraId="21B45E1C" w14:textId="77777777" w:rsidR="003067F7" w:rsidRDefault="003067F7" w:rsidP="00DE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66751"/>
      <w:docPartObj>
        <w:docPartGallery w:val="Page Numbers (Bottom of Page)"/>
        <w:docPartUnique/>
      </w:docPartObj>
    </w:sdtPr>
    <w:sdtEndPr>
      <w:rPr>
        <w:rFonts w:ascii="Times New Roman" w:hAnsi="Times New Roman" w:cs="Times New Roman"/>
      </w:rPr>
    </w:sdtEndPr>
    <w:sdtContent>
      <w:p w14:paraId="1AD6BA63" w14:textId="36B767A6" w:rsidR="00DE3428" w:rsidRPr="00DE3428" w:rsidRDefault="00DE3428">
        <w:pPr>
          <w:pStyle w:val="Jalus"/>
          <w:jc w:val="center"/>
          <w:rPr>
            <w:rFonts w:ascii="Times New Roman" w:hAnsi="Times New Roman" w:cs="Times New Roman"/>
          </w:rPr>
        </w:pPr>
        <w:r w:rsidRPr="00DE3428">
          <w:rPr>
            <w:rFonts w:ascii="Times New Roman" w:hAnsi="Times New Roman" w:cs="Times New Roman"/>
          </w:rPr>
          <w:fldChar w:fldCharType="begin"/>
        </w:r>
        <w:r w:rsidRPr="00DE3428">
          <w:rPr>
            <w:rFonts w:ascii="Times New Roman" w:hAnsi="Times New Roman" w:cs="Times New Roman"/>
          </w:rPr>
          <w:instrText>PAGE   \* MERGEFORMAT</w:instrText>
        </w:r>
        <w:r w:rsidRPr="00DE3428">
          <w:rPr>
            <w:rFonts w:ascii="Times New Roman" w:hAnsi="Times New Roman" w:cs="Times New Roman"/>
          </w:rPr>
          <w:fldChar w:fldCharType="separate"/>
        </w:r>
        <w:r w:rsidRPr="00DE3428">
          <w:rPr>
            <w:rFonts w:ascii="Times New Roman" w:hAnsi="Times New Roman" w:cs="Times New Roman"/>
          </w:rPr>
          <w:t>2</w:t>
        </w:r>
        <w:r w:rsidRPr="00DE3428">
          <w:rPr>
            <w:rFonts w:ascii="Times New Roman" w:hAnsi="Times New Roman" w:cs="Times New Roman"/>
          </w:rPr>
          <w:fldChar w:fldCharType="end"/>
        </w:r>
      </w:p>
    </w:sdtContent>
  </w:sdt>
  <w:p w14:paraId="7A35FCF7" w14:textId="77777777" w:rsidR="00DE3428" w:rsidRDefault="00DE34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129F" w14:textId="77777777" w:rsidR="003067F7" w:rsidRDefault="003067F7" w:rsidP="00DE3428">
      <w:pPr>
        <w:spacing w:after="0" w:line="240" w:lineRule="auto"/>
      </w:pPr>
      <w:r>
        <w:separator/>
      </w:r>
    </w:p>
  </w:footnote>
  <w:footnote w:type="continuationSeparator" w:id="0">
    <w:p w14:paraId="73AEEF19" w14:textId="77777777" w:rsidR="003067F7" w:rsidRDefault="003067F7" w:rsidP="00DE3428">
      <w:pPr>
        <w:spacing w:after="0" w:line="240" w:lineRule="auto"/>
      </w:pPr>
      <w:r>
        <w:continuationSeparator/>
      </w:r>
    </w:p>
  </w:footnote>
  <w:footnote w:id="1">
    <w:p w14:paraId="0D969A87" w14:textId="6DD435C5" w:rsidR="00F421E7" w:rsidRPr="00F421E7" w:rsidRDefault="00F421E7" w:rsidP="00F421E7">
      <w:pPr>
        <w:pStyle w:val="Allmrkusetekst"/>
        <w:jc w:val="both"/>
        <w:rPr>
          <w:rFonts w:ascii="Times New Roman" w:hAnsi="Times New Roman" w:cs="Times New Roman"/>
        </w:rPr>
      </w:pPr>
      <w:r w:rsidRPr="00F421E7">
        <w:rPr>
          <w:rStyle w:val="Allmrkuseviide"/>
          <w:rFonts w:ascii="Times New Roman" w:hAnsi="Times New Roman" w:cs="Times New Roman"/>
        </w:rPr>
        <w:footnoteRef/>
      </w:r>
      <w:r w:rsidRPr="00F421E7">
        <w:rPr>
          <w:rFonts w:ascii="Times New Roman" w:hAnsi="Times New Roman" w:cs="Times New Roman"/>
        </w:rPr>
        <w:t xml:space="preserve"> Peamised valdkonna õigusaktid on </w:t>
      </w:r>
      <w:hyperlink r:id="rId1" w:history="1">
        <w:r w:rsidRPr="00F421E7">
          <w:rPr>
            <w:rStyle w:val="Hperlink"/>
            <w:rFonts w:ascii="Times New Roman" w:hAnsi="Times New Roman" w:cs="Times New Roman"/>
          </w:rPr>
          <w:t xml:space="preserve">isikuandmete kaitse </w:t>
        </w:r>
        <w:proofErr w:type="spellStart"/>
        <w:r w:rsidRPr="00F421E7">
          <w:rPr>
            <w:rStyle w:val="Hperlink"/>
            <w:rFonts w:ascii="Times New Roman" w:hAnsi="Times New Roman" w:cs="Times New Roman"/>
          </w:rPr>
          <w:t>üldmäärus</w:t>
        </w:r>
        <w:proofErr w:type="spellEnd"/>
        <w:r w:rsidRPr="00F421E7">
          <w:rPr>
            <w:rStyle w:val="Hperlink"/>
            <w:rFonts w:ascii="Times New Roman" w:hAnsi="Times New Roman" w:cs="Times New Roman"/>
          </w:rPr>
          <w:t xml:space="preserve"> (EL) 2016/679</w:t>
        </w:r>
      </w:hyperlink>
      <w:r w:rsidRPr="00F421E7">
        <w:rPr>
          <w:rFonts w:ascii="Times New Roman" w:hAnsi="Times New Roman" w:cs="Times New Roman"/>
        </w:rPr>
        <w:t xml:space="preserve">,  </w:t>
      </w:r>
      <w:hyperlink r:id="rId2" w:history="1">
        <w:r w:rsidRPr="00F421E7">
          <w:rPr>
            <w:rStyle w:val="Hperlink"/>
            <w:rFonts w:ascii="Times New Roman" w:hAnsi="Times New Roman" w:cs="Times New Roman"/>
          </w:rPr>
          <w:t>pädevate asutuste isikuandmete töötlemise direktiiv (EL) 2016/680</w:t>
        </w:r>
      </w:hyperlink>
      <w:r w:rsidRPr="00F421E7">
        <w:rPr>
          <w:rFonts w:ascii="Times New Roman" w:hAnsi="Times New Roman" w:cs="Times New Roman"/>
        </w:rPr>
        <w:t xml:space="preserve"> ning </w:t>
      </w:r>
      <w:hyperlink r:id="rId3" w:history="1">
        <w:r w:rsidRPr="00F421E7">
          <w:rPr>
            <w:rStyle w:val="Hperlink"/>
            <w:rFonts w:ascii="Times New Roman" w:hAnsi="Times New Roman" w:cs="Times New Roman"/>
          </w:rPr>
          <w:t>EL institutsioonides ja asutustes teostatava  isikuandmete töötlemise määrus (EL) 2018/1725</w:t>
        </w:r>
      </w:hyperlink>
      <w:r w:rsidRPr="00F421E7">
        <w:rPr>
          <w:rFonts w:ascii="Times New Roman" w:hAnsi="Times New Roman" w:cs="Times New Roman"/>
        </w:rPr>
        <w:t>.</w:t>
      </w:r>
    </w:p>
  </w:footnote>
  <w:footnote w:id="2">
    <w:p w14:paraId="2275005E" w14:textId="1A1920BE" w:rsidR="00F63430" w:rsidRPr="00F63430" w:rsidRDefault="00F63430" w:rsidP="00F63430">
      <w:pPr>
        <w:pStyle w:val="Allmrkusetekst"/>
        <w:jc w:val="both"/>
        <w:rPr>
          <w:rFonts w:ascii="Times New Roman" w:hAnsi="Times New Roman" w:cs="Times New Roman"/>
        </w:rPr>
      </w:pPr>
      <w:r w:rsidRPr="00F63430">
        <w:rPr>
          <w:rStyle w:val="Allmrkuseviide"/>
          <w:rFonts w:ascii="Times New Roman" w:hAnsi="Times New Roman" w:cs="Times New Roman"/>
        </w:rPr>
        <w:footnoteRef/>
      </w:r>
      <w:r w:rsidRPr="00F63430">
        <w:rPr>
          <w:rFonts w:ascii="Times New Roman" w:hAnsi="Times New Roman" w:cs="Times New Roman"/>
        </w:rPr>
        <w:t xml:space="preserve"> Euroopa Parlamendi ja nõukogu 15. märtsi 2006. aasta direktiiv 2006/24/EÜ, mis käsitleb üldkasutatavate elektrooniliste sideteenuste või üldkasutatavate sidevõrkude pakkujate tegevusega kaasnevate või nende töödeldud andmete säilitamist ja millega muudetakse direktiivi 2002/58/EÜ.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85E0"/>
    <w:multiLevelType w:val="hybridMultilevel"/>
    <w:tmpl w:val="D1B81D6A"/>
    <w:lvl w:ilvl="0" w:tplc="F5045912">
      <w:start w:val="1"/>
      <w:numFmt w:val="bullet"/>
      <w:lvlText w:val=""/>
      <w:lvlJc w:val="left"/>
      <w:pPr>
        <w:ind w:left="720" w:hanging="360"/>
      </w:pPr>
      <w:rPr>
        <w:rFonts w:ascii="Symbol" w:hAnsi="Symbol" w:hint="default"/>
      </w:rPr>
    </w:lvl>
    <w:lvl w:ilvl="1" w:tplc="8F68ED64">
      <w:start w:val="1"/>
      <w:numFmt w:val="bullet"/>
      <w:lvlText w:val="o"/>
      <w:lvlJc w:val="left"/>
      <w:pPr>
        <w:ind w:left="1440" w:hanging="360"/>
      </w:pPr>
      <w:rPr>
        <w:rFonts w:ascii="Courier New" w:hAnsi="Courier New" w:hint="default"/>
      </w:rPr>
    </w:lvl>
    <w:lvl w:ilvl="2" w:tplc="AF20EC90">
      <w:start w:val="1"/>
      <w:numFmt w:val="bullet"/>
      <w:lvlText w:val=""/>
      <w:lvlJc w:val="left"/>
      <w:pPr>
        <w:ind w:left="2160" w:hanging="360"/>
      </w:pPr>
      <w:rPr>
        <w:rFonts w:ascii="Wingdings" w:hAnsi="Wingdings" w:hint="default"/>
      </w:rPr>
    </w:lvl>
    <w:lvl w:ilvl="3" w:tplc="D0221ED4">
      <w:start w:val="1"/>
      <w:numFmt w:val="bullet"/>
      <w:lvlText w:val=""/>
      <w:lvlJc w:val="left"/>
      <w:pPr>
        <w:ind w:left="2880" w:hanging="360"/>
      </w:pPr>
      <w:rPr>
        <w:rFonts w:ascii="Symbol" w:hAnsi="Symbol" w:hint="default"/>
      </w:rPr>
    </w:lvl>
    <w:lvl w:ilvl="4" w:tplc="0B260AA6">
      <w:start w:val="1"/>
      <w:numFmt w:val="bullet"/>
      <w:lvlText w:val="o"/>
      <w:lvlJc w:val="left"/>
      <w:pPr>
        <w:ind w:left="3600" w:hanging="360"/>
      </w:pPr>
      <w:rPr>
        <w:rFonts w:ascii="Courier New" w:hAnsi="Courier New" w:hint="default"/>
      </w:rPr>
    </w:lvl>
    <w:lvl w:ilvl="5" w:tplc="E4D2CA20">
      <w:start w:val="1"/>
      <w:numFmt w:val="bullet"/>
      <w:lvlText w:val=""/>
      <w:lvlJc w:val="left"/>
      <w:pPr>
        <w:ind w:left="4320" w:hanging="360"/>
      </w:pPr>
      <w:rPr>
        <w:rFonts w:ascii="Wingdings" w:hAnsi="Wingdings" w:hint="default"/>
      </w:rPr>
    </w:lvl>
    <w:lvl w:ilvl="6" w:tplc="B76651C0">
      <w:start w:val="1"/>
      <w:numFmt w:val="bullet"/>
      <w:lvlText w:val=""/>
      <w:lvlJc w:val="left"/>
      <w:pPr>
        <w:ind w:left="5040" w:hanging="360"/>
      </w:pPr>
      <w:rPr>
        <w:rFonts w:ascii="Symbol" w:hAnsi="Symbol" w:hint="default"/>
      </w:rPr>
    </w:lvl>
    <w:lvl w:ilvl="7" w:tplc="C7662A2A">
      <w:start w:val="1"/>
      <w:numFmt w:val="bullet"/>
      <w:lvlText w:val="o"/>
      <w:lvlJc w:val="left"/>
      <w:pPr>
        <w:ind w:left="5760" w:hanging="360"/>
      </w:pPr>
      <w:rPr>
        <w:rFonts w:ascii="Courier New" w:hAnsi="Courier New" w:hint="default"/>
      </w:rPr>
    </w:lvl>
    <w:lvl w:ilvl="8" w:tplc="D34C83AC">
      <w:start w:val="1"/>
      <w:numFmt w:val="bullet"/>
      <w:lvlText w:val=""/>
      <w:lvlJc w:val="left"/>
      <w:pPr>
        <w:ind w:left="6480" w:hanging="360"/>
      </w:pPr>
      <w:rPr>
        <w:rFonts w:ascii="Wingdings" w:hAnsi="Wingdings" w:hint="default"/>
      </w:rPr>
    </w:lvl>
  </w:abstractNum>
  <w:abstractNum w:abstractNumId="1" w15:restartNumberingAfterBreak="0">
    <w:nsid w:val="0B323BD0"/>
    <w:multiLevelType w:val="hybridMultilevel"/>
    <w:tmpl w:val="A492DE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0310BA"/>
    <w:multiLevelType w:val="hybridMultilevel"/>
    <w:tmpl w:val="74CC2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53400647">
    <w:abstractNumId w:val="2"/>
  </w:num>
  <w:num w:numId="2" w16cid:durableId="342246836">
    <w:abstractNumId w:val="0"/>
  </w:num>
  <w:num w:numId="3" w16cid:durableId="34471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28"/>
    <w:rsid w:val="00122BD8"/>
    <w:rsid w:val="00195450"/>
    <w:rsid w:val="001A19F5"/>
    <w:rsid w:val="001B3043"/>
    <w:rsid w:val="001C0926"/>
    <w:rsid w:val="001D7C1B"/>
    <w:rsid w:val="00222671"/>
    <w:rsid w:val="002403E2"/>
    <w:rsid w:val="00301B80"/>
    <w:rsid w:val="003067F7"/>
    <w:rsid w:val="00356219"/>
    <w:rsid w:val="00366319"/>
    <w:rsid w:val="0039565E"/>
    <w:rsid w:val="00416EB8"/>
    <w:rsid w:val="00457167"/>
    <w:rsid w:val="00545B83"/>
    <w:rsid w:val="00546101"/>
    <w:rsid w:val="00582D8B"/>
    <w:rsid w:val="005A6318"/>
    <w:rsid w:val="005D3EC1"/>
    <w:rsid w:val="005F35EB"/>
    <w:rsid w:val="006576F2"/>
    <w:rsid w:val="00691ECE"/>
    <w:rsid w:val="006C15F3"/>
    <w:rsid w:val="006F00EF"/>
    <w:rsid w:val="007367CD"/>
    <w:rsid w:val="00745574"/>
    <w:rsid w:val="00767694"/>
    <w:rsid w:val="007C5955"/>
    <w:rsid w:val="008145E4"/>
    <w:rsid w:val="00820C6B"/>
    <w:rsid w:val="00967A30"/>
    <w:rsid w:val="009778FD"/>
    <w:rsid w:val="009D153A"/>
    <w:rsid w:val="009D60DF"/>
    <w:rsid w:val="00A466B8"/>
    <w:rsid w:val="00AB107F"/>
    <w:rsid w:val="00B14BBA"/>
    <w:rsid w:val="00BA40F2"/>
    <w:rsid w:val="00C27FF4"/>
    <w:rsid w:val="00C677D8"/>
    <w:rsid w:val="00C822B7"/>
    <w:rsid w:val="00C93A64"/>
    <w:rsid w:val="00CF6817"/>
    <w:rsid w:val="00D11D2B"/>
    <w:rsid w:val="00DE2CDD"/>
    <w:rsid w:val="00DE3428"/>
    <w:rsid w:val="00DF276E"/>
    <w:rsid w:val="00E0682C"/>
    <w:rsid w:val="00E36760"/>
    <w:rsid w:val="00EB0156"/>
    <w:rsid w:val="00EB0A79"/>
    <w:rsid w:val="00F42172"/>
    <w:rsid w:val="00F421E7"/>
    <w:rsid w:val="00F63430"/>
    <w:rsid w:val="00F94597"/>
    <w:rsid w:val="00FC08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29FB"/>
  <w15:chartTrackingRefBased/>
  <w15:docId w15:val="{C9614012-74A8-4589-906A-C769BB38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E3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E3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E342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E342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E342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E342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E342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E342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E342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E342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E342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E342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E342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E342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E342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E342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E342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E342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E3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E342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E342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E342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E3428"/>
    <w:pPr>
      <w:spacing w:before="160"/>
      <w:jc w:val="center"/>
    </w:pPr>
    <w:rPr>
      <w:i/>
      <w:iCs/>
      <w:color w:val="404040" w:themeColor="text1" w:themeTint="BF"/>
    </w:rPr>
  </w:style>
  <w:style w:type="character" w:customStyle="1" w:styleId="TsitaatMrk">
    <w:name w:val="Tsitaat Märk"/>
    <w:basedOn w:val="Liguvaikefont"/>
    <w:link w:val="Tsitaat"/>
    <w:uiPriority w:val="29"/>
    <w:rsid w:val="00DE3428"/>
    <w:rPr>
      <w:i/>
      <w:iCs/>
      <w:color w:val="404040" w:themeColor="text1" w:themeTint="BF"/>
    </w:rPr>
  </w:style>
  <w:style w:type="paragraph" w:styleId="Loendilik">
    <w:name w:val="List Paragraph"/>
    <w:basedOn w:val="Normaallaad"/>
    <w:uiPriority w:val="34"/>
    <w:qFormat/>
    <w:rsid w:val="00DE3428"/>
    <w:pPr>
      <w:ind w:left="720"/>
      <w:contextualSpacing/>
    </w:pPr>
  </w:style>
  <w:style w:type="character" w:styleId="Selgeltmrgatavrhutus">
    <w:name w:val="Intense Emphasis"/>
    <w:basedOn w:val="Liguvaikefont"/>
    <w:uiPriority w:val="21"/>
    <w:qFormat/>
    <w:rsid w:val="00DE3428"/>
    <w:rPr>
      <w:i/>
      <w:iCs/>
      <w:color w:val="0F4761" w:themeColor="accent1" w:themeShade="BF"/>
    </w:rPr>
  </w:style>
  <w:style w:type="paragraph" w:styleId="Selgeltmrgatavtsitaat">
    <w:name w:val="Intense Quote"/>
    <w:basedOn w:val="Normaallaad"/>
    <w:next w:val="Normaallaad"/>
    <w:link w:val="SelgeltmrgatavtsitaatMrk"/>
    <w:uiPriority w:val="30"/>
    <w:qFormat/>
    <w:rsid w:val="00DE3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E3428"/>
    <w:rPr>
      <w:i/>
      <w:iCs/>
      <w:color w:val="0F4761" w:themeColor="accent1" w:themeShade="BF"/>
    </w:rPr>
  </w:style>
  <w:style w:type="character" w:styleId="Selgeltmrgatavviide">
    <w:name w:val="Intense Reference"/>
    <w:basedOn w:val="Liguvaikefont"/>
    <w:uiPriority w:val="32"/>
    <w:qFormat/>
    <w:rsid w:val="00DE3428"/>
    <w:rPr>
      <w:b/>
      <w:bCs/>
      <w:smallCaps/>
      <w:color w:val="0F4761" w:themeColor="accent1" w:themeShade="BF"/>
      <w:spacing w:val="5"/>
    </w:rPr>
  </w:style>
  <w:style w:type="paragraph" w:styleId="Pis">
    <w:name w:val="header"/>
    <w:basedOn w:val="Normaallaad"/>
    <w:link w:val="PisMrk"/>
    <w:uiPriority w:val="99"/>
    <w:unhideWhenUsed/>
    <w:rsid w:val="00DE3428"/>
    <w:pPr>
      <w:tabs>
        <w:tab w:val="center" w:pos="4536"/>
        <w:tab w:val="right" w:pos="9072"/>
      </w:tabs>
      <w:spacing w:after="0" w:line="240" w:lineRule="auto"/>
    </w:pPr>
  </w:style>
  <w:style w:type="character" w:customStyle="1" w:styleId="PisMrk">
    <w:name w:val="Päis Märk"/>
    <w:basedOn w:val="Liguvaikefont"/>
    <w:link w:val="Pis"/>
    <w:uiPriority w:val="99"/>
    <w:rsid w:val="00DE3428"/>
  </w:style>
  <w:style w:type="paragraph" w:styleId="Jalus">
    <w:name w:val="footer"/>
    <w:basedOn w:val="Normaallaad"/>
    <w:link w:val="JalusMrk"/>
    <w:uiPriority w:val="99"/>
    <w:unhideWhenUsed/>
    <w:rsid w:val="00DE3428"/>
    <w:pPr>
      <w:tabs>
        <w:tab w:val="center" w:pos="4536"/>
        <w:tab w:val="right" w:pos="9072"/>
      </w:tabs>
      <w:spacing w:after="0" w:line="240" w:lineRule="auto"/>
    </w:pPr>
  </w:style>
  <w:style w:type="character" w:customStyle="1" w:styleId="JalusMrk">
    <w:name w:val="Jalus Märk"/>
    <w:basedOn w:val="Liguvaikefont"/>
    <w:link w:val="Jalus"/>
    <w:uiPriority w:val="99"/>
    <w:rsid w:val="00DE3428"/>
  </w:style>
  <w:style w:type="character" w:styleId="Hperlink">
    <w:name w:val="Hyperlink"/>
    <w:basedOn w:val="Liguvaikefont"/>
    <w:uiPriority w:val="99"/>
    <w:unhideWhenUsed/>
    <w:rsid w:val="00967A30"/>
    <w:rPr>
      <w:color w:val="467886" w:themeColor="hyperlink"/>
      <w:u w:val="single"/>
    </w:rPr>
  </w:style>
  <w:style w:type="character" w:styleId="Lahendamatamainimine">
    <w:name w:val="Unresolved Mention"/>
    <w:basedOn w:val="Liguvaikefont"/>
    <w:uiPriority w:val="99"/>
    <w:semiHidden/>
    <w:unhideWhenUsed/>
    <w:rsid w:val="00967A30"/>
    <w:rPr>
      <w:color w:val="605E5C"/>
      <w:shd w:val="clear" w:color="auto" w:fill="E1DFDD"/>
    </w:rPr>
  </w:style>
  <w:style w:type="paragraph" w:styleId="Allmrkusetekst">
    <w:name w:val="footnote text"/>
    <w:basedOn w:val="Normaallaad"/>
    <w:link w:val="AllmrkusetekstMrk"/>
    <w:uiPriority w:val="99"/>
    <w:semiHidden/>
    <w:unhideWhenUsed/>
    <w:rsid w:val="00F421E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421E7"/>
    <w:rPr>
      <w:sz w:val="20"/>
      <w:szCs w:val="20"/>
    </w:rPr>
  </w:style>
  <w:style w:type="character" w:styleId="Allmrkuseviide">
    <w:name w:val="footnote reference"/>
    <w:basedOn w:val="Liguvaikefont"/>
    <w:uiPriority w:val="99"/>
    <w:semiHidden/>
    <w:unhideWhenUsed/>
    <w:rsid w:val="00F421E7"/>
    <w:rPr>
      <w:vertAlign w:val="superscript"/>
    </w:rPr>
  </w:style>
  <w:style w:type="character" w:styleId="Klastatudhperlink">
    <w:name w:val="FollowedHyperlink"/>
    <w:basedOn w:val="Liguvaikefont"/>
    <w:uiPriority w:val="99"/>
    <w:semiHidden/>
    <w:unhideWhenUsed/>
    <w:rsid w:val="00A466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4680-Impact-assessment-on-retention-of-data-by-service-providers-for-criminal-proceedings-_et" TargetMode="External"/><Relationship Id="rId13" Type="http://schemas.openxmlformats.org/officeDocument/2006/relationships/hyperlink" Target="https://curia.europa.eu/jcms/upload/docs/application/pdf/2014-04/cp140054et.pdf" TargetMode="External"/><Relationship Id="rId18" Type="http://schemas.openxmlformats.org/officeDocument/2006/relationships/hyperlink" Target="https://data.consilium.europa.eu/doc/document/ST-16448-2024-INIT/et/pdf" TargetMode="External"/><Relationship Id="rId3" Type="http://schemas.openxmlformats.org/officeDocument/2006/relationships/styles" Target="styles.xml"/><Relationship Id="rId21" Type="http://schemas.openxmlformats.org/officeDocument/2006/relationships/hyperlink" Target="https://eur-lex.europa.eu/legal-content/ET/TXT/PDF/?uri=CELEX:52025DC0148&amp;qid=1750079406709" TargetMode="External"/><Relationship Id="rId7" Type="http://schemas.openxmlformats.org/officeDocument/2006/relationships/endnotes" Target="endnotes.xml"/><Relationship Id="rId12" Type="http://schemas.openxmlformats.org/officeDocument/2006/relationships/hyperlink" Target="https://commission.europa.eu/law/law-topic/data-protection/legal-framework-eu-data-protection_en?prefLang=et" TargetMode="External"/><Relationship Id="rId17" Type="http://schemas.openxmlformats.org/officeDocument/2006/relationships/hyperlink" Target="https://eur-lex.europa.eu/legal-content/EN/TXT/?uri=CELEX%3A62015CJ0203&amp;qid=1704363417090" TargetMode="External"/><Relationship Id="rId2" Type="http://schemas.openxmlformats.org/officeDocument/2006/relationships/numbering" Target="numbering.xml"/><Relationship Id="rId16" Type="http://schemas.openxmlformats.org/officeDocument/2006/relationships/hyperlink" Target="https://eur-lex.europa.eu/legal-content/ET/ALL/?uri=celex:32002L0058" TargetMode="External"/><Relationship Id="rId20" Type="http://schemas.openxmlformats.org/officeDocument/2006/relationships/hyperlink" Target="https://commission.europa.eu/document/download/1469e7fd-12f2-413a-abf8-250e07df142f_en?filename=mission-letter-brunn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T/TXT/PDF/?uri=CELEX:12016P/T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ria.europa.eu/juris/liste.jsf?num=C-594/12" TargetMode="External"/><Relationship Id="rId23" Type="http://schemas.openxmlformats.org/officeDocument/2006/relationships/fontTable" Target="fontTable.xml"/><Relationship Id="rId10" Type="http://schemas.openxmlformats.org/officeDocument/2006/relationships/hyperlink" Target="mailto:joosep.kaasik@siseministeerium.ee" TargetMode="External"/><Relationship Id="rId19" Type="http://schemas.openxmlformats.org/officeDocument/2006/relationships/hyperlink" Target="https://commission.europa.eu/document/download/e6cd4328-673c-4e7a-8683-f63ffb2cf648_et?filename=Political%20Guidelines%202024-2029_ET.pdf" TargetMode="External"/><Relationship Id="rId4" Type="http://schemas.openxmlformats.org/officeDocument/2006/relationships/settings" Target="settings.xml"/><Relationship Id="rId9" Type="http://schemas.openxmlformats.org/officeDocument/2006/relationships/hyperlink" Target="mailto:info@siseministeerium.ee" TargetMode="External"/><Relationship Id="rId14" Type="http://schemas.openxmlformats.org/officeDocument/2006/relationships/hyperlink" Target="https://curia.europa.eu/juris/liste.jsf?num=C-293/12"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PDF/?uri=CELEX:32018R1725" TargetMode="External"/><Relationship Id="rId2" Type="http://schemas.openxmlformats.org/officeDocument/2006/relationships/hyperlink" Target="https://eur-lex.europa.eu/legal-content/ET/TXT/PDF/?uri=CELEX:32016L0680" TargetMode="External"/><Relationship Id="rId1" Type="http://schemas.openxmlformats.org/officeDocument/2006/relationships/hyperlink" Target="https://eur-lex.europa.eu/legal-content/ET/TXT/PDF/?uri=CELEX:32016R067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C4F5-BA38-4D85-B147-35E333AE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2643</Words>
  <Characters>15333</Characters>
  <Application>Microsoft Office Word</Application>
  <DocSecurity>0</DocSecurity>
  <Lines>127</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Budrik</dc:creator>
  <cp:keywords/>
  <dc:description/>
  <cp:lastModifiedBy>Katarina Budrik</cp:lastModifiedBy>
  <cp:revision>11</cp:revision>
  <dcterms:created xsi:type="dcterms:W3CDTF">2025-08-25T06:30:00Z</dcterms:created>
  <dcterms:modified xsi:type="dcterms:W3CDTF">2025-08-25T10:34:00Z</dcterms:modified>
</cp:coreProperties>
</file>